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5F2E" w14:textId="4B53E8BC" w:rsidR="006C3974" w:rsidRPr="009B40D2" w:rsidRDefault="005C43A0">
      <w:pPr>
        <w:spacing w:after="0" w:line="259" w:lineRule="auto"/>
        <w:ind w:left="4" w:firstLine="0"/>
        <w:jc w:val="center"/>
        <w:rPr>
          <w:rFonts w:asciiTheme="minorHAnsi" w:hAnsiTheme="minorHAnsi" w:cstheme="minorHAnsi"/>
        </w:rPr>
      </w:pPr>
      <w:r>
        <w:rPr>
          <w:rFonts w:asciiTheme="minorHAnsi" w:hAnsiTheme="minorHAnsi" w:cstheme="minorHAnsi"/>
          <w:b/>
        </w:rPr>
        <w:t>BMTO Undergraduate</w:t>
      </w:r>
      <w:r w:rsidR="00AB651B" w:rsidRPr="009B40D2">
        <w:rPr>
          <w:rFonts w:asciiTheme="minorHAnsi" w:hAnsiTheme="minorHAnsi" w:cstheme="minorHAnsi"/>
          <w:b/>
        </w:rPr>
        <w:t xml:space="preserve"> Moderation Guidance </w:t>
      </w:r>
    </w:p>
    <w:p w14:paraId="1437484C" w14:textId="77777777" w:rsidR="006C3974" w:rsidRPr="009B40D2" w:rsidRDefault="00AB651B">
      <w:pPr>
        <w:spacing w:after="0" w:line="259" w:lineRule="auto"/>
        <w:ind w:left="0" w:firstLine="0"/>
        <w:rPr>
          <w:rFonts w:asciiTheme="minorHAnsi" w:hAnsiTheme="minorHAnsi" w:cstheme="minorHAnsi"/>
        </w:rPr>
      </w:pPr>
      <w:r w:rsidRPr="009B40D2">
        <w:rPr>
          <w:rFonts w:asciiTheme="minorHAnsi" w:hAnsiTheme="minorHAnsi" w:cstheme="minorHAnsi"/>
          <w:b/>
        </w:rPr>
        <w:t xml:space="preserve"> </w:t>
      </w:r>
    </w:p>
    <w:p w14:paraId="27DD4442" w14:textId="77777777" w:rsidR="006C3974" w:rsidRPr="009B40D2" w:rsidRDefault="00AB651B">
      <w:pPr>
        <w:pStyle w:val="Heading1"/>
        <w:ind w:left="225" w:hanging="240"/>
        <w:rPr>
          <w:rFonts w:asciiTheme="minorHAnsi" w:hAnsiTheme="minorHAnsi" w:cstheme="minorHAnsi"/>
        </w:rPr>
      </w:pPr>
      <w:r w:rsidRPr="009B40D2">
        <w:rPr>
          <w:rFonts w:asciiTheme="minorHAnsi" w:hAnsiTheme="minorHAnsi" w:cstheme="minorHAnsi"/>
        </w:rPr>
        <w:t xml:space="preserve">Purpose of the Guidance </w:t>
      </w:r>
    </w:p>
    <w:p w14:paraId="6E9057BD" w14:textId="77777777" w:rsidR="006C3974" w:rsidRPr="009B40D2" w:rsidRDefault="00AB651B">
      <w:pPr>
        <w:spacing w:after="0" w:line="259" w:lineRule="auto"/>
        <w:ind w:left="0" w:firstLine="0"/>
        <w:rPr>
          <w:rFonts w:asciiTheme="minorHAnsi" w:hAnsiTheme="minorHAnsi" w:cstheme="minorHAnsi"/>
        </w:rPr>
      </w:pPr>
      <w:r w:rsidRPr="009B40D2">
        <w:rPr>
          <w:rFonts w:asciiTheme="minorHAnsi" w:hAnsiTheme="minorHAnsi" w:cstheme="minorHAnsi"/>
          <w:b/>
        </w:rPr>
        <w:t xml:space="preserve"> </w:t>
      </w:r>
    </w:p>
    <w:p w14:paraId="3282DD9B" w14:textId="77777777" w:rsidR="006C3974" w:rsidRPr="009B40D2" w:rsidRDefault="00C43E35">
      <w:pPr>
        <w:ind w:left="-5"/>
        <w:rPr>
          <w:rFonts w:asciiTheme="minorHAnsi" w:hAnsiTheme="minorHAnsi" w:cstheme="minorHAnsi"/>
        </w:rPr>
      </w:pPr>
      <w:r w:rsidRPr="009B40D2">
        <w:rPr>
          <w:rFonts w:asciiTheme="minorHAnsi" w:hAnsiTheme="minorHAnsi" w:cstheme="minorHAnsi"/>
        </w:rPr>
        <w:t>Moderation of marking is a requirement for all assessed work but can take many forms. This document is for guidance only and suggests ways in which you may wish to carry out moderation</w:t>
      </w:r>
    </w:p>
    <w:p w14:paraId="617C452B" w14:textId="77777777" w:rsidR="006C3974" w:rsidRPr="009B40D2" w:rsidRDefault="00AB651B">
      <w:pPr>
        <w:ind w:left="-5"/>
        <w:rPr>
          <w:rFonts w:asciiTheme="minorHAnsi" w:hAnsiTheme="minorHAnsi" w:cstheme="minorHAnsi"/>
        </w:rPr>
      </w:pPr>
      <w:r w:rsidRPr="009B40D2">
        <w:rPr>
          <w:rFonts w:asciiTheme="minorHAnsi" w:hAnsiTheme="minorHAnsi" w:cstheme="minorHAnsi"/>
        </w:rPr>
        <w:t>The guidance is in line with the University</w:t>
      </w:r>
      <w:r w:rsidR="00C43E35" w:rsidRPr="009B40D2">
        <w:rPr>
          <w:rFonts w:asciiTheme="minorHAnsi" w:hAnsiTheme="minorHAnsi" w:cstheme="minorHAnsi"/>
        </w:rPr>
        <w:t xml:space="preserve"> of Edinburgh</w:t>
      </w:r>
      <w:r w:rsidRPr="009B40D2">
        <w:rPr>
          <w:rFonts w:asciiTheme="minorHAnsi" w:hAnsiTheme="minorHAnsi" w:cstheme="minorHAnsi"/>
        </w:rPr>
        <w:t>’s Taught Assessment Regulation (</w:t>
      </w:r>
      <w:proofErr w:type="gramStart"/>
      <w:r w:rsidRPr="009B40D2">
        <w:rPr>
          <w:rFonts w:asciiTheme="minorHAnsi" w:hAnsiTheme="minorHAnsi" w:cstheme="minorHAnsi"/>
        </w:rPr>
        <w:t>TAR )</w:t>
      </w:r>
      <w:proofErr w:type="gramEnd"/>
      <w:r w:rsidRPr="009B40D2">
        <w:rPr>
          <w:rFonts w:asciiTheme="minorHAnsi" w:hAnsiTheme="minorHAnsi" w:cstheme="minorHAnsi"/>
        </w:rPr>
        <w:t xml:space="preserve"> 31.7 </w:t>
      </w:r>
    </w:p>
    <w:p w14:paraId="777675DC" w14:textId="77777777" w:rsidR="006C3974" w:rsidRPr="009B40D2" w:rsidRDefault="008670EC">
      <w:pPr>
        <w:spacing w:after="0"/>
        <w:ind w:left="-5"/>
        <w:rPr>
          <w:rFonts w:asciiTheme="minorHAnsi" w:hAnsiTheme="minorHAnsi" w:cstheme="minorHAnsi"/>
        </w:rPr>
      </w:pPr>
      <w:hyperlink r:id="rId8">
        <w:r w:rsidR="00AB651B" w:rsidRPr="009B40D2">
          <w:rPr>
            <w:rFonts w:asciiTheme="minorHAnsi" w:hAnsiTheme="minorHAnsi" w:cstheme="minorHAnsi"/>
          </w:rPr>
          <w:t>(</w:t>
        </w:r>
      </w:hyperlink>
      <w:hyperlink r:id="rId9">
        <w:r w:rsidR="00AB651B" w:rsidRPr="009B40D2">
          <w:rPr>
            <w:rFonts w:asciiTheme="minorHAnsi" w:hAnsiTheme="minorHAnsi" w:cstheme="minorHAnsi"/>
            <w:color w:val="0000FF"/>
            <w:u w:val="single" w:color="0000FF"/>
          </w:rPr>
          <w:t>https://www.ed.ac.uk/files/atoms/files/taughtassessmentregulations.pdf</w:t>
        </w:r>
      </w:hyperlink>
      <w:hyperlink r:id="rId10">
        <w:r w:rsidR="00AB651B" w:rsidRPr="009B40D2">
          <w:rPr>
            <w:rFonts w:asciiTheme="minorHAnsi" w:hAnsiTheme="minorHAnsi" w:cstheme="minorHAnsi"/>
          </w:rPr>
          <w:t>)</w:t>
        </w:r>
      </w:hyperlink>
      <w:r w:rsidR="00AB651B" w:rsidRPr="009B40D2">
        <w:rPr>
          <w:rFonts w:asciiTheme="minorHAnsi" w:hAnsiTheme="minorHAnsi" w:cstheme="minorHAnsi"/>
        </w:rPr>
        <w:t xml:space="preserve"> </w:t>
      </w:r>
    </w:p>
    <w:p w14:paraId="169460B3" w14:textId="77777777" w:rsidR="00C43E35" w:rsidRPr="009B40D2" w:rsidRDefault="00C43E35" w:rsidP="00C43E35">
      <w:pPr>
        <w:spacing w:after="0" w:line="238" w:lineRule="auto"/>
        <w:ind w:left="0" w:firstLine="0"/>
        <w:rPr>
          <w:rFonts w:asciiTheme="minorHAnsi" w:hAnsiTheme="minorHAnsi" w:cstheme="minorHAnsi"/>
        </w:rPr>
      </w:pPr>
    </w:p>
    <w:p w14:paraId="554E7C88" w14:textId="77777777" w:rsidR="006C3974" w:rsidRPr="009B40D2" w:rsidRDefault="00C43E35" w:rsidP="00C43E35">
      <w:pPr>
        <w:spacing w:after="0" w:line="238" w:lineRule="auto"/>
        <w:ind w:left="0" w:firstLine="0"/>
        <w:rPr>
          <w:rFonts w:asciiTheme="minorHAnsi" w:hAnsiTheme="minorHAnsi" w:cstheme="minorHAnsi"/>
        </w:rPr>
      </w:pPr>
      <w:r w:rsidRPr="009B40D2">
        <w:rPr>
          <w:rFonts w:asciiTheme="minorHAnsi" w:hAnsiTheme="minorHAnsi" w:cstheme="minorHAnsi"/>
        </w:rPr>
        <w:t xml:space="preserve">Further guidance is available here: </w:t>
      </w:r>
      <w:hyperlink r:id="rId11">
        <w:r w:rsidR="00AB651B" w:rsidRPr="009B40D2">
          <w:rPr>
            <w:rFonts w:asciiTheme="minorHAnsi" w:hAnsiTheme="minorHAnsi" w:cstheme="minorHAnsi"/>
            <w:color w:val="0000FF"/>
            <w:u w:val="single" w:color="0000FF"/>
          </w:rPr>
          <w:t>https://www.ed.ac.uk/institute</w:t>
        </w:r>
      </w:hyperlink>
      <w:hyperlink r:id="rId12"/>
      <w:hyperlink r:id="rId13">
        <w:r w:rsidR="00AB651B" w:rsidRPr="009B40D2">
          <w:rPr>
            <w:rFonts w:asciiTheme="minorHAnsi" w:hAnsiTheme="minorHAnsi" w:cstheme="minorHAnsi"/>
            <w:color w:val="0000FF"/>
            <w:u w:val="single" w:color="0000FF"/>
          </w:rPr>
          <w:t>academic</w:t>
        </w:r>
      </w:hyperlink>
      <w:hyperlink r:id="rId14">
        <w:r w:rsidR="00AB651B" w:rsidRPr="009B40D2">
          <w:rPr>
            <w:rFonts w:asciiTheme="minorHAnsi" w:hAnsiTheme="minorHAnsi" w:cstheme="minorHAnsi"/>
            <w:color w:val="0000FF"/>
            <w:u w:val="single" w:color="0000FF"/>
          </w:rPr>
          <w:t>-</w:t>
        </w:r>
      </w:hyperlink>
      <w:hyperlink r:id="rId15">
        <w:r w:rsidR="00AB651B" w:rsidRPr="009B40D2">
          <w:rPr>
            <w:rFonts w:asciiTheme="minorHAnsi" w:hAnsiTheme="minorHAnsi" w:cstheme="minorHAnsi"/>
            <w:color w:val="0000FF"/>
            <w:u w:val="single" w:color="0000FF"/>
          </w:rPr>
          <w:t>development/learning</w:t>
        </w:r>
      </w:hyperlink>
      <w:hyperlink r:id="rId16">
        <w:r w:rsidR="00AB651B" w:rsidRPr="009B40D2">
          <w:rPr>
            <w:rFonts w:asciiTheme="minorHAnsi" w:hAnsiTheme="minorHAnsi" w:cstheme="minorHAnsi"/>
            <w:color w:val="0000FF"/>
            <w:u w:val="single" w:color="0000FF"/>
          </w:rPr>
          <w:t>-</w:t>
        </w:r>
      </w:hyperlink>
      <w:hyperlink r:id="rId17">
        <w:r w:rsidR="00AB651B" w:rsidRPr="009B40D2">
          <w:rPr>
            <w:rFonts w:asciiTheme="minorHAnsi" w:hAnsiTheme="minorHAnsi" w:cstheme="minorHAnsi"/>
            <w:color w:val="0000FF"/>
            <w:u w:val="single" w:color="0000FF"/>
          </w:rPr>
          <w:t>teaching/staff/assessment/moderation</w:t>
        </w:r>
      </w:hyperlink>
      <w:hyperlink r:id="rId18">
        <w:r w:rsidR="00AB651B" w:rsidRPr="009B40D2">
          <w:rPr>
            <w:rFonts w:asciiTheme="minorHAnsi" w:hAnsiTheme="minorHAnsi" w:cstheme="minorHAnsi"/>
            <w:color w:val="0000FF"/>
            <w:u w:val="single" w:color="0000FF"/>
          </w:rPr>
          <w:t>-</w:t>
        </w:r>
      </w:hyperlink>
      <w:hyperlink r:id="rId19">
        <w:r w:rsidR="00AB651B" w:rsidRPr="009B40D2">
          <w:rPr>
            <w:rFonts w:asciiTheme="minorHAnsi" w:hAnsiTheme="minorHAnsi" w:cstheme="minorHAnsi"/>
            <w:color w:val="0000FF"/>
            <w:u w:val="single" w:color="0000FF"/>
          </w:rPr>
          <w:t>guidance</w:t>
        </w:r>
      </w:hyperlink>
      <w:hyperlink r:id="rId20">
        <w:r w:rsidR="00AB651B" w:rsidRPr="009B40D2">
          <w:rPr>
            <w:rFonts w:asciiTheme="minorHAnsi" w:hAnsiTheme="minorHAnsi" w:cstheme="minorHAnsi"/>
            <w:color w:val="00B0F0"/>
          </w:rPr>
          <w:t xml:space="preserve"> </w:t>
        </w:r>
      </w:hyperlink>
    </w:p>
    <w:p w14:paraId="3F0C4E84" w14:textId="77777777" w:rsidR="006C3974" w:rsidRPr="009B40D2" w:rsidRDefault="00AB651B">
      <w:pPr>
        <w:spacing w:after="0" w:line="259" w:lineRule="auto"/>
        <w:ind w:left="0" w:firstLine="0"/>
        <w:rPr>
          <w:rFonts w:asciiTheme="minorHAnsi" w:hAnsiTheme="minorHAnsi" w:cstheme="minorHAnsi"/>
        </w:rPr>
      </w:pPr>
      <w:r w:rsidRPr="009B40D2">
        <w:rPr>
          <w:rFonts w:asciiTheme="minorHAnsi" w:hAnsiTheme="minorHAnsi" w:cstheme="minorHAnsi"/>
        </w:rPr>
        <w:t xml:space="preserve"> </w:t>
      </w:r>
    </w:p>
    <w:p w14:paraId="562CE103" w14:textId="77777777" w:rsidR="006C3974" w:rsidRPr="009B40D2" w:rsidRDefault="00AB651B">
      <w:pPr>
        <w:pStyle w:val="Heading1"/>
        <w:ind w:left="225" w:hanging="240"/>
        <w:rPr>
          <w:rFonts w:asciiTheme="minorHAnsi" w:hAnsiTheme="minorHAnsi" w:cstheme="minorHAnsi"/>
        </w:rPr>
      </w:pPr>
      <w:r w:rsidRPr="009B40D2">
        <w:rPr>
          <w:rFonts w:asciiTheme="minorHAnsi" w:hAnsiTheme="minorHAnsi" w:cstheme="minorHAnsi"/>
        </w:rPr>
        <w:t xml:space="preserve">Moderation </w:t>
      </w:r>
    </w:p>
    <w:p w14:paraId="12C11FBC" w14:textId="77777777" w:rsidR="006C3974" w:rsidRPr="009B40D2" w:rsidRDefault="00AB651B">
      <w:pPr>
        <w:spacing w:after="0" w:line="259" w:lineRule="auto"/>
        <w:ind w:left="0" w:firstLine="0"/>
        <w:rPr>
          <w:rFonts w:asciiTheme="minorHAnsi" w:hAnsiTheme="minorHAnsi" w:cstheme="minorHAnsi"/>
        </w:rPr>
      </w:pPr>
      <w:r w:rsidRPr="009B40D2">
        <w:rPr>
          <w:rFonts w:asciiTheme="minorHAnsi" w:hAnsiTheme="minorHAnsi" w:cstheme="minorHAnsi"/>
          <w:b/>
        </w:rPr>
        <w:t xml:space="preserve"> </w:t>
      </w:r>
    </w:p>
    <w:p w14:paraId="15EB3B80" w14:textId="75232E0F" w:rsidR="006C3974" w:rsidRPr="009B40D2" w:rsidRDefault="00AB651B">
      <w:pPr>
        <w:spacing w:after="169"/>
        <w:ind w:left="-5"/>
        <w:rPr>
          <w:rFonts w:asciiTheme="minorHAnsi" w:hAnsiTheme="minorHAnsi" w:cstheme="minorHAnsi"/>
        </w:rPr>
      </w:pPr>
      <w:r w:rsidRPr="009B40D2">
        <w:rPr>
          <w:rFonts w:asciiTheme="minorHAnsi" w:hAnsiTheme="minorHAnsi" w:cstheme="minorHAnsi"/>
        </w:rPr>
        <w:t>Moderation is a process s</w:t>
      </w:r>
      <w:r w:rsidR="00C43E35" w:rsidRPr="009B40D2">
        <w:rPr>
          <w:rFonts w:asciiTheme="minorHAnsi" w:hAnsiTheme="minorHAnsi" w:cstheme="minorHAnsi"/>
        </w:rPr>
        <w:t>epa</w:t>
      </w:r>
      <w:r w:rsidRPr="009B40D2">
        <w:rPr>
          <w:rFonts w:asciiTheme="minorHAnsi" w:hAnsiTheme="minorHAnsi" w:cstheme="minorHAnsi"/>
        </w:rPr>
        <w:t>rate from the marking of assessments</w:t>
      </w:r>
      <w:r w:rsidR="007804D9" w:rsidRPr="009B40D2">
        <w:rPr>
          <w:rFonts w:asciiTheme="minorHAnsi" w:hAnsiTheme="minorHAnsi" w:cstheme="minorHAnsi"/>
        </w:rPr>
        <w:t>. Moderation</w:t>
      </w:r>
      <w:r w:rsidRPr="009B40D2">
        <w:rPr>
          <w:rFonts w:asciiTheme="minorHAnsi" w:hAnsiTheme="minorHAnsi" w:cstheme="minorHAnsi"/>
        </w:rPr>
        <w:t xml:space="preserve"> ensures that an assessment outcome (mark and /or grade) is fair, </w:t>
      </w:r>
      <w:proofErr w:type="gramStart"/>
      <w:r w:rsidRPr="009B40D2">
        <w:rPr>
          <w:rFonts w:asciiTheme="minorHAnsi" w:hAnsiTheme="minorHAnsi" w:cstheme="minorHAnsi"/>
        </w:rPr>
        <w:t>valid</w:t>
      </w:r>
      <w:proofErr w:type="gramEnd"/>
      <w:r w:rsidRPr="009B40D2">
        <w:rPr>
          <w:rFonts w:asciiTheme="minorHAnsi" w:hAnsiTheme="minorHAnsi" w:cstheme="minorHAnsi"/>
        </w:rPr>
        <w:t xml:space="preserve"> and reliable, that assessment criteria have been applied consistently, and that any differences in academic judgement between individual markers can be acknowledged and addressed.  </w:t>
      </w:r>
    </w:p>
    <w:p w14:paraId="7C566CEC" w14:textId="77777777" w:rsidR="006C3974" w:rsidRPr="009B40D2" w:rsidRDefault="00AB651B">
      <w:pPr>
        <w:ind w:left="-5"/>
        <w:rPr>
          <w:rFonts w:asciiTheme="minorHAnsi" w:hAnsiTheme="minorHAnsi" w:cstheme="minorHAnsi"/>
        </w:rPr>
      </w:pPr>
      <w:r w:rsidRPr="009B40D2">
        <w:rPr>
          <w:rFonts w:asciiTheme="minorHAnsi" w:hAnsiTheme="minorHAnsi" w:cstheme="minorHAnsi"/>
        </w:rPr>
        <w:t xml:space="preserve">The marking of all components of assessment must be subject to moderation in a way that is appropriate to the discipline, the nature of the assessment, and the credit weighting of the component of assessment. </w:t>
      </w:r>
    </w:p>
    <w:p w14:paraId="1A9D8842" w14:textId="77777777" w:rsidR="006C3974" w:rsidRPr="009B40D2" w:rsidRDefault="00AB651B">
      <w:pPr>
        <w:spacing w:after="0" w:line="259" w:lineRule="auto"/>
        <w:ind w:left="0" w:firstLine="0"/>
        <w:rPr>
          <w:rFonts w:asciiTheme="minorHAnsi" w:hAnsiTheme="minorHAnsi" w:cstheme="minorHAnsi"/>
        </w:rPr>
      </w:pPr>
      <w:r w:rsidRPr="009B40D2">
        <w:rPr>
          <w:rFonts w:asciiTheme="minorHAnsi" w:hAnsiTheme="minorHAnsi" w:cstheme="minorHAnsi"/>
        </w:rPr>
        <w:t xml:space="preserve"> </w:t>
      </w:r>
    </w:p>
    <w:p w14:paraId="2880FC75" w14:textId="77777777" w:rsidR="006C3974" w:rsidRPr="009B40D2" w:rsidRDefault="00C43E35" w:rsidP="001628D5">
      <w:pPr>
        <w:ind w:left="-5"/>
        <w:rPr>
          <w:rFonts w:asciiTheme="minorHAnsi" w:hAnsiTheme="minorHAnsi" w:cstheme="minorHAnsi"/>
        </w:rPr>
      </w:pPr>
      <w:r w:rsidRPr="009B40D2">
        <w:rPr>
          <w:rFonts w:asciiTheme="minorHAnsi" w:hAnsiTheme="minorHAnsi" w:cstheme="minorHAnsi"/>
        </w:rPr>
        <w:t>Moderators cannot moderate their own marking. Where markers for an ass</w:t>
      </w:r>
      <w:r w:rsidR="001628D5" w:rsidRPr="009B40D2">
        <w:rPr>
          <w:rFonts w:asciiTheme="minorHAnsi" w:hAnsiTheme="minorHAnsi" w:cstheme="minorHAnsi"/>
        </w:rPr>
        <w:t>essment</w:t>
      </w:r>
      <w:r w:rsidRPr="009B40D2">
        <w:rPr>
          <w:rFonts w:asciiTheme="minorHAnsi" w:hAnsiTheme="minorHAnsi" w:cstheme="minorHAnsi"/>
        </w:rPr>
        <w:t xml:space="preserve"> also act as moderators, at least two moderators should be used so that </w:t>
      </w:r>
      <w:proofErr w:type="gramStart"/>
      <w:r w:rsidRPr="009B40D2">
        <w:rPr>
          <w:rFonts w:asciiTheme="minorHAnsi" w:hAnsiTheme="minorHAnsi" w:cstheme="minorHAnsi"/>
        </w:rPr>
        <w:t>each individual</w:t>
      </w:r>
      <w:proofErr w:type="gramEnd"/>
      <w:r w:rsidRPr="009B40D2">
        <w:rPr>
          <w:rFonts w:asciiTheme="minorHAnsi" w:hAnsiTheme="minorHAnsi" w:cstheme="minorHAnsi"/>
        </w:rPr>
        <w:t xml:space="preserve"> can moderate the other’s marking.</w:t>
      </w:r>
    </w:p>
    <w:p w14:paraId="7761DBFC" w14:textId="77777777" w:rsidR="006C3974" w:rsidRPr="009B40D2" w:rsidRDefault="00AB651B">
      <w:pPr>
        <w:spacing w:after="0" w:line="259" w:lineRule="auto"/>
        <w:ind w:left="0" w:firstLine="0"/>
        <w:rPr>
          <w:rFonts w:asciiTheme="minorHAnsi" w:hAnsiTheme="minorHAnsi" w:cstheme="minorHAnsi"/>
        </w:rPr>
      </w:pPr>
      <w:r w:rsidRPr="009B40D2">
        <w:rPr>
          <w:rFonts w:asciiTheme="minorHAnsi" w:hAnsiTheme="minorHAnsi" w:cstheme="minorHAnsi"/>
        </w:rPr>
        <w:t xml:space="preserve"> </w:t>
      </w:r>
    </w:p>
    <w:p w14:paraId="00413754" w14:textId="5ECCEC47" w:rsidR="006C3974" w:rsidRDefault="00AB651B">
      <w:pPr>
        <w:ind w:left="-5"/>
        <w:rPr>
          <w:rFonts w:asciiTheme="minorHAnsi" w:hAnsiTheme="minorHAnsi" w:cstheme="minorHAnsi"/>
        </w:rPr>
      </w:pPr>
      <w:r w:rsidRPr="009B40D2">
        <w:rPr>
          <w:rFonts w:asciiTheme="minorHAnsi" w:hAnsiTheme="minorHAnsi" w:cstheme="minorHAnsi"/>
        </w:rPr>
        <w:t xml:space="preserve">No changes </w:t>
      </w:r>
      <w:r w:rsidR="00C43E35" w:rsidRPr="009B40D2">
        <w:rPr>
          <w:rFonts w:asciiTheme="minorHAnsi" w:hAnsiTheme="minorHAnsi" w:cstheme="minorHAnsi"/>
        </w:rPr>
        <w:t>should</w:t>
      </w:r>
      <w:r w:rsidRPr="009B40D2">
        <w:rPr>
          <w:rFonts w:asciiTheme="minorHAnsi" w:hAnsiTheme="minorHAnsi" w:cstheme="minorHAnsi"/>
        </w:rPr>
        <w:t xml:space="preserve"> be made to marking without the original marker’s knowledge. Where possible, any changes should take place in discussion with the original marker. </w:t>
      </w:r>
      <w:r w:rsidR="001628D5" w:rsidRPr="009B40D2">
        <w:rPr>
          <w:rFonts w:asciiTheme="minorHAnsi" w:hAnsiTheme="minorHAnsi" w:cstheme="minorHAnsi"/>
        </w:rPr>
        <w:t xml:space="preserve">As well as ensuring that the marker’s </w:t>
      </w:r>
      <w:r w:rsidR="00E93070" w:rsidRPr="009B40D2">
        <w:rPr>
          <w:rFonts w:asciiTheme="minorHAnsi" w:hAnsiTheme="minorHAnsi" w:cstheme="minorHAnsi"/>
        </w:rPr>
        <w:t xml:space="preserve">opinion </w:t>
      </w:r>
      <w:r w:rsidR="001628D5" w:rsidRPr="009B40D2">
        <w:rPr>
          <w:rFonts w:asciiTheme="minorHAnsi" w:hAnsiTheme="minorHAnsi" w:cstheme="minorHAnsi"/>
        </w:rPr>
        <w:t>is properly understood and considered, this will also act as an important development process for marker</w:t>
      </w:r>
      <w:r w:rsidR="00216377">
        <w:rPr>
          <w:rFonts w:asciiTheme="minorHAnsi" w:hAnsiTheme="minorHAnsi" w:cstheme="minorHAnsi"/>
        </w:rPr>
        <w:t>s</w:t>
      </w:r>
      <w:r w:rsidR="001628D5" w:rsidRPr="009B40D2">
        <w:rPr>
          <w:rFonts w:asciiTheme="minorHAnsi" w:hAnsiTheme="minorHAnsi" w:cstheme="minorHAnsi"/>
        </w:rPr>
        <w:t xml:space="preserve"> by helping to </w:t>
      </w:r>
      <w:r w:rsidR="00216377">
        <w:rPr>
          <w:rFonts w:asciiTheme="minorHAnsi" w:hAnsiTheme="minorHAnsi" w:cstheme="minorHAnsi"/>
        </w:rPr>
        <w:t xml:space="preserve">establish common </w:t>
      </w:r>
      <w:r w:rsidR="001628D5" w:rsidRPr="009B40D2">
        <w:rPr>
          <w:rFonts w:asciiTheme="minorHAnsi" w:hAnsiTheme="minorHAnsi" w:cstheme="minorHAnsi"/>
        </w:rPr>
        <w:t>standards.</w:t>
      </w:r>
    </w:p>
    <w:p w14:paraId="76915BC2" w14:textId="1D29E6A3" w:rsidR="00216377" w:rsidRDefault="00216377">
      <w:pPr>
        <w:ind w:left="-5"/>
        <w:rPr>
          <w:rFonts w:asciiTheme="minorHAnsi" w:hAnsiTheme="minorHAnsi" w:cstheme="minorHAnsi"/>
        </w:rPr>
      </w:pPr>
    </w:p>
    <w:p w14:paraId="6B81BF8C" w14:textId="6175671E" w:rsidR="00216377" w:rsidRPr="009B40D2" w:rsidRDefault="00216377">
      <w:pPr>
        <w:ind w:left="-5"/>
        <w:rPr>
          <w:rFonts w:asciiTheme="minorHAnsi" w:hAnsiTheme="minorHAnsi" w:cstheme="minorHAnsi"/>
        </w:rPr>
      </w:pPr>
      <w:r>
        <w:rPr>
          <w:rFonts w:asciiTheme="minorHAnsi" w:hAnsiTheme="minorHAnsi" w:cstheme="minorHAnsi"/>
        </w:rPr>
        <w:t>All adjustment to marks must be made before marks and feedback are returned to students therefore initial marking deadlines take account of the time needed for moderation before the feedback deadline.</w:t>
      </w:r>
    </w:p>
    <w:p w14:paraId="60F450D4" w14:textId="77777777" w:rsidR="006C3974" w:rsidRPr="009B40D2" w:rsidRDefault="00AB651B">
      <w:pPr>
        <w:spacing w:after="0" w:line="259" w:lineRule="auto"/>
        <w:ind w:left="0" w:firstLine="0"/>
        <w:rPr>
          <w:rFonts w:asciiTheme="minorHAnsi" w:hAnsiTheme="minorHAnsi" w:cstheme="minorHAnsi"/>
        </w:rPr>
      </w:pPr>
      <w:r w:rsidRPr="009B40D2">
        <w:rPr>
          <w:rFonts w:asciiTheme="minorHAnsi" w:hAnsiTheme="minorHAnsi" w:cstheme="minorHAnsi"/>
        </w:rPr>
        <w:t xml:space="preserve"> </w:t>
      </w:r>
    </w:p>
    <w:p w14:paraId="17CDC184" w14:textId="77777777" w:rsidR="006C3974" w:rsidRPr="009B40D2" w:rsidRDefault="006C3974">
      <w:pPr>
        <w:spacing w:after="0" w:line="259" w:lineRule="auto"/>
        <w:ind w:left="360" w:firstLine="0"/>
        <w:rPr>
          <w:rFonts w:asciiTheme="minorHAnsi" w:hAnsiTheme="minorHAnsi" w:cstheme="minorHAnsi"/>
        </w:rPr>
      </w:pPr>
    </w:p>
    <w:p w14:paraId="4B85A76A" w14:textId="77777777" w:rsidR="006C3974" w:rsidRPr="009B40D2" w:rsidRDefault="00AB651B">
      <w:pPr>
        <w:pStyle w:val="Heading1"/>
        <w:ind w:left="225" w:hanging="240"/>
        <w:rPr>
          <w:rFonts w:asciiTheme="minorHAnsi" w:hAnsiTheme="minorHAnsi" w:cstheme="minorHAnsi"/>
        </w:rPr>
      </w:pPr>
      <w:r w:rsidRPr="009B40D2">
        <w:rPr>
          <w:rFonts w:asciiTheme="minorHAnsi" w:hAnsiTheme="minorHAnsi" w:cstheme="minorHAnsi"/>
        </w:rPr>
        <w:t xml:space="preserve">Forms of Moderation </w:t>
      </w:r>
    </w:p>
    <w:p w14:paraId="0D27CE4E" w14:textId="4CAB2C47" w:rsidR="006C3974" w:rsidRPr="009B40D2" w:rsidRDefault="00AB651B">
      <w:pPr>
        <w:spacing w:after="0" w:line="259" w:lineRule="auto"/>
        <w:ind w:left="0" w:firstLine="0"/>
        <w:rPr>
          <w:rFonts w:asciiTheme="minorHAnsi" w:hAnsiTheme="minorHAnsi" w:cstheme="minorHAnsi"/>
        </w:rPr>
      </w:pPr>
      <w:r w:rsidRPr="009B40D2">
        <w:rPr>
          <w:rFonts w:asciiTheme="minorHAnsi" w:hAnsiTheme="minorHAnsi" w:cstheme="minorHAnsi"/>
          <w:b/>
        </w:rPr>
        <w:t xml:space="preserve"> </w:t>
      </w:r>
    </w:p>
    <w:p w14:paraId="4B22444D" w14:textId="77777777" w:rsidR="006C3974" w:rsidRPr="009B40D2" w:rsidRDefault="00AB651B">
      <w:pPr>
        <w:pStyle w:val="Heading2"/>
        <w:ind w:left="345" w:hanging="360"/>
        <w:rPr>
          <w:rFonts w:asciiTheme="minorHAnsi" w:hAnsiTheme="minorHAnsi" w:cstheme="minorHAnsi"/>
        </w:rPr>
      </w:pPr>
      <w:r w:rsidRPr="009B40D2">
        <w:rPr>
          <w:rFonts w:asciiTheme="minorHAnsi" w:hAnsiTheme="minorHAnsi" w:cstheme="minorHAnsi"/>
        </w:rPr>
        <w:t xml:space="preserve">Single Marking Sampled Moderation  </w:t>
      </w:r>
    </w:p>
    <w:p w14:paraId="7CA32020" w14:textId="77777777" w:rsidR="006C3974" w:rsidRPr="009B40D2" w:rsidRDefault="00AB651B">
      <w:pPr>
        <w:spacing w:after="0" w:line="259" w:lineRule="auto"/>
        <w:ind w:left="0" w:firstLine="0"/>
        <w:rPr>
          <w:rFonts w:asciiTheme="minorHAnsi" w:hAnsiTheme="minorHAnsi" w:cstheme="minorHAnsi"/>
        </w:rPr>
      </w:pPr>
      <w:r w:rsidRPr="009B40D2">
        <w:rPr>
          <w:rFonts w:asciiTheme="minorHAnsi" w:hAnsiTheme="minorHAnsi" w:cstheme="minorHAnsi"/>
          <w:b/>
        </w:rPr>
        <w:t xml:space="preserve"> </w:t>
      </w:r>
    </w:p>
    <w:p w14:paraId="191469E2" w14:textId="7001C78E" w:rsidR="00243D26" w:rsidRPr="009B40D2" w:rsidRDefault="00695529">
      <w:pPr>
        <w:ind w:left="-5"/>
        <w:rPr>
          <w:rFonts w:asciiTheme="minorHAnsi" w:hAnsiTheme="minorHAnsi" w:cstheme="minorHAnsi"/>
        </w:rPr>
      </w:pPr>
      <w:r w:rsidRPr="009B40D2">
        <w:rPr>
          <w:rFonts w:asciiTheme="minorHAnsi" w:hAnsiTheme="minorHAnsi" w:cstheme="minorHAnsi"/>
        </w:rPr>
        <w:t xml:space="preserve">For most assessments, sampling is the most appropriate method of moderation; it addresses the common challenges associated with marking (alignment of mark with marking criteria and feedback, subjective differences between markers) without needing the extra time or staff resources associated with </w:t>
      </w:r>
      <w:proofErr w:type="gramStart"/>
      <w:r w:rsidRPr="009B40D2">
        <w:rPr>
          <w:rFonts w:asciiTheme="minorHAnsi" w:hAnsiTheme="minorHAnsi" w:cstheme="minorHAnsi"/>
        </w:rPr>
        <w:t>double-marking</w:t>
      </w:r>
      <w:proofErr w:type="gramEnd"/>
      <w:r w:rsidRPr="009B40D2">
        <w:rPr>
          <w:rFonts w:asciiTheme="minorHAnsi" w:hAnsiTheme="minorHAnsi" w:cstheme="minorHAnsi"/>
        </w:rPr>
        <w:t>.</w:t>
      </w:r>
      <w:r w:rsidR="00216377">
        <w:rPr>
          <w:rFonts w:asciiTheme="minorHAnsi" w:hAnsiTheme="minorHAnsi" w:cstheme="minorHAnsi"/>
        </w:rPr>
        <w:t xml:space="preserve"> </w:t>
      </w:r>
      <w:r w:rsidRPr="009B40D2">
        <w:rPr>
          <w:rFonts w:asciiTheme="minorHAnsi" w:hAnsiTheme="minorHAnsi" w:cstheme="minorHAnsi"/>
        </w:rPr>
        <w:t>In this form of moderation, a</w:t>
      </w:r>
      <w:r w:rsidR="001628D5" w:rsidRPr="009B40D2">
        <w:rPr>
          <w:rFonts w:asciiTheme="minorHAnsi" w:hAnsiTheme="minorHAnsi" w:cstheme="minorHAnsi"/>
        </w:rPr>
        <w:t xml:space="preserve"> sample of marked </w:t>
      </w:r>
      <w:r w:rsidR="001628D5" w:rsidRPr="009B40D2">
        <w:rPr>
          <w:rFonts w:asciiTheme="minorHAnsi" w:hAnsiTheme="minorHAnsi" w:cstheme="minorHAnsi"/>
        </w:rPr>
        <w:lastRenderedPageBreak/>
        <w:t>assignments from each individual marker is moderated</w:t>
      </w:r>
      <w:r w:rsidR="00AB651B" w:rsidRPr="009B40D2">
        <w:rPr>
          <w:rFonts w:asciiTheme="minorHAnsi" w:hAnsiTheme="minorHAnsi" w:cstheme="minorHAnsi"/>
        </w:rPr>
        <w:t>.</w:t>
      </w:r>
      <w:r w:rsidR="00243D26" w:rsidRPr="009B40D2">
        <w:rPr>
          <w:rFonts w:asciiTheme="minorHAnsi" w:hAnsiTheme="minorHAnsi" w:cstheme="minorHAnsi"/>
        </w:rPr>
        <w:t xml:space="preserve"> Moderators should</w:t>
      </w:r>
      <w:r w:rsidR="00AB651B" w:rsidRPr="009B40D2">
        <w:rPr>
          <w:rFonts w:asciiTheme="minorHAnsi" w:hAnsiTheme="minorHAnsi" w:cstheme="minorHAnsi"/>
        </w:rPr>
        <w:t xml:space="preserve"> </w:t>
      </w:r>
      <w:r w:rsidR="00243D26" w:rsidRPr="009B40D2">
        <w:rPr>
          <w:rFonts w:asciiTheme="minorHAnsi" w:hAnsiTheme="minorHAnsi" w:cstheme="minorHAnsi"/>
        </w:rPr>
        <w:t>assess a range of factors:</w:t>
      </w:r>
    </w:p>
    <w:p w14:paraId="3F2EB920" w14:textId="77777777" w:rsidR="00243D26" w:rsidRPr="009B40D2" w:rsidRDefault="00243D26" w:rsidP="00215510">
      <w:pPr>
        <w:pStyle w:val="ListParagraph"/>
        <w:numPr>
          <w:ilvl w:val="0"/>
          <w:numId w:val="3"/>
        </w:numPr>
        <w:rPr>
          <w:rFonts w:asciiTheme="minorHAnsi" w:hAnsiTheme="minorHAnsi" w:cstheme="minorHAnsi"/>
        </w:rPr>
      </w:pPr>
      <w:r w:rsidRPr="009B40D2">
        <w:rPr>
          <w:rFonts w:asciiTheme="minorHAnsi" w:hAnsiTheme="minorHAnsi" w:cstheme="minorHAnsi"/>
        </w:rPr>
        <w:t>Is the marker’s feedback detailed enough to let the students know what they have done well and how they can improve their performance in future assessment?</w:t>
      </w:r>
    </w:p>
    <w:p w14:paraId="7E80D909" w14:textId="4A7BDAEE" w:rsidR="00243D26" w:rsidRPr="009B40D2" w:rsidRDefault="00243D26" w:rsidP="00215510">
      <w:pPr>
        <w:pStyle w:val="ListParagraph"/>
        <w:numPr>
          <w:ilvl w:val="0"/>
          <w:numId w:val="3"/>
        </w:numPr>
        <w:rPr>
          <w:rFonts w:asciiTheme="minorHAnsi" w:hAnsiTheme="minorHAnsi" w:cstheme="minorHAnsi"/>
        </w:rPr>
      </w:pPr>
      <w:r w:rsidRPr="009B40D2">
        <w:rPr>
          <w:rFonts w:asciiTheme="minorHAnsi" w:hAnsiTheme="minorHAnsi" w:cstheme="minorHAnsi"/>
        </w:rPr>
        <w:t>Does the feedback justify the mark according to the marking scheme?</w:t>
      </w:r>
    </w:p>
    <w:p w14:paraId="30133B5C" w14:textId="77777777" w:rsidR="00243D26" w:rsidRPr="009B40D2" w:rsidRDefault="00243D26" w:rsidP="00215510">
      <w:pPr>
        <w:pStyle w:val="ListParagraph"/>
        <w:numPr>
          <w:ilvl w:val="0"/>
          <w:numId w:val="3"/>
        </w:numPr>
        <w:rPr>
          <w:rFonts w:asciiTheme="minorHAnsi" w:hAnsiTheme="minorHAnsi" w:cstheme="minorHAnsi"/>
        </w:rPr>
      </w:pPr>
      <w:r w:rsidRPr="009B40D2">
        <w:rPr>
          <w:rFonts w:asciiTheme="minorHAnsi" w:hAnsiTheme="minorHAnsi" w:cstheme="minorHAnsi"/>
        </w:rPr>
        <w:t xml:space="preserve">Is the feedback and mark an accurate assessment of </w:t>
      </w:r>
      <w:r w:rsidR="00215510" w:rsidRPr="009B40D2">
        <w:rPr>
          <w:rFonts w:asciiTheme="minorHAnsi" w:hAnsiTheme="minorHAnsi" w:cstheme="minorHAnsi"/>
        </w:rPr>
        <w:t>the student’s work according to the marking scheme?</w:t>
      </w:r>
    </w:p>
    <w:p w14:paraId="6CD91375" w14:textId="77777777" w:rsidR="00243D26" w:rsidRPr="009B40D2" w:rsidRDefault="00243D26">
      <w:pPr>
        <w:ind w:left="-5"/>
        <w:rPr>
          <w:rFonts w:asciiTheme="minorHAnsi" w:hAnsiTheme="minorHAnsi" w:cstheme="minorHAnsi"/>
        </w:rPr>
      </w:pPr>
    </w:p>
    <w:p w14:paraId="5ECC63F1" w14:textId="21280B69" w:rsidR="001628D5" w:rsidRPr="009B40D2" w:rsidRDefault="00AB651B">
      <w:pPr>
        <w:ind w:left="-5"/>
        <w:rPr>
          <w:rFonts w:asciiTheme="minorHAnsi" w:hAnsiTheme="minorHAnsi" w:cstheme="minorHAnsi"/>
        </w:rPr>
      </w:pPr>
      <w:r w:rsidRPr="009B40D2">
        <w:rPr>
          <w:rFonts w:asciiTheme="minorHAnsi" w:hAnsiTheme="minorHAnsi" w:cstheme="minorHAnsi"/>
        </w:rPr>
        <w:t xml:space="preserve">A minimum sample size of </w:t>
      </w:r>
      <w:r w:rsidR="001628D5" w:rsidRPr="009B40D2">
        <w:rPr>
          <w:rFonts w:asciiTheme="minorHAnsi" w:hAnsiTheme="minorHAnsi" w:cstheme="minorHAnsi"/>
        </w:rPr>
        <w:t xml:space="preserve">five individual assignments or </w:t>
      </w:r>
      <w:r w:rsidRPr="009B40D2">
        <w:rPr>
          <w:rFonts w:asciiTheme="minorHAnsi" w:hAnsiTheme="minorHAnsi" w:cstheme="minorHAnsi"/>
        </w:rPr>
        <w:t xml:space="preserve">10% </w:t>
      </w:r>
      <w:r w:rsidR="001628D5" w:rsidRPr="009B40D2">
        <w:rPr>
          <w:rFonts w:asciiTheme="minorHAnsi" w:hAnsiTheme="minorHAnsi" w:cstheme="minorHAnsi"/>
        </w:rPr>
        <w:t>of the total</w:t>
      </w:r>
      <w:r w:rsidRPr="009B40D2">
        <w:rPr>
          <w:rFonts w:asciiTheme="minorHAnsi" w:hAnsiTheme="minorHAnsi" w:cstheme="minorHAnsi"/>
        </w:rPr>
        <w:t xml:space="preserve"> assignments</w:t>
      </w:r>
      <w:r w:rsidR="001628D5" w:rsidRPr="009B40D2">
        <w:rPr>
          <w:rFonts w:asciiTheme="minorHAnsi" w:hAnsiTheme="minorHAnsi" w:cstheme="minorHAnsi"/>
        </w:rPr>
        <w:t xml:space="preserve"> marked by each marker</w:t>
      </w:r>
      <w:r w:rsidRPr="009B40D2">
        <w:rPr>
          <w:rFonts w:asciiTheme="minorHAnsi" w:hAnsiTheme="minorHAnsi" w:cstheme="minorHAnsi"/>
        </w:rPr>
        <w:t xml:space="preserve"> is recommended</w:t>
      </w:r>
      <w:r w:rsidR="001628D5" w:rsidRPr="009B40D2">
        <w:rPr>
          <w:rFonts w:asciiTheme="minorHAnsi" w:hAnsiTheme="minorHAnsi" w:cstheme="minorHAnsi"/>
        </w:rPr>
        <w:t>, whichever number is larger</w:t>
      </w:r>
      <w:r w:rsidRPr="009B40D2">
        <w:rPr>
          <w:rFonts w:asciiTheme="minorHAnsi" w:hAnsiTheme="minorHAnsi" w:cstheme="minorHAnsi"/>
        </w:rPr>
        <w:t>.</w:t>
      </w:r>
      <w:r w:rsidR="00695529" w:rsidRPr="009B40D2">
        <w:rPr>
          <w:rFonts w:asciiTheme="minorHAnsi" w:hAnsiTheme="minorHAnsi" w:cstheme="minorHAnsi"/>
        </w:rPr>
        <w:t xml:space="preserve"> Please note that this means that sampling is not appropriate in assessments where each marker marks five or fewer individual assignments.</w:t>
      </w:r>
      <w:r w:rsidRPr="009B40D2">
        <w:rPr>
          <w:rFonts w:asciiTheme="minorHAnsi" w:hAnsiTheme="minorHAnsi" w:cstheme="minorHAnsi"/>
        </w:rPr>
        <w:t xml:space="preserve"> The sample should include a range of examples </w:t>
      </w:r>
      <w:r w:rsidR="001628D5" w:rsidRPr="009B40D2">
        <w:rPr>
          <w:rFonts w:asciiTheme="minorHAnsi" w:hAnsiTheme="minorHAnsi" w:cstheme="minorHAnsi"/>
        </w:rPr>
        <w:t xml:space="preserve">of </w:t>
      </w:r>
      <w:r w:rsidR="00243D26" w:rsidRPr="009B40D2">
        <w:rPr>
          <w:rFonts w:asciiTheme="minorHAnsi" w:hAnsiTheme="minorHAnsi" w:cstheme="minorHAnsi"/>
        </w:rPr>
        <w:t>each grade.</w:t>
      </w:r>
      <w:r w:rsidR="00215510" w:rsidRPr="009B40D2">
        <w:rPr>
          <w:rFonts w:asciiTheme="minorHAnsi" w:hAnsiTheme="minorHAnsi" w:cstheme="minorHAnsi"/>
        </w:rPr>
        <w:t xml:space="preserve"> Reviewing the mark distribution from each marker can also be used to select which samples to moderate e.g.: if one marker has not awarded any A grades, it would be useful to sample assignments given high B grades by that marker to assess whether a higher mark would be more appropriate.</w:t>
      </w:r>
      <w:r w:rsidR="00243D26" w:rsidRPr="009B40D2">
        <w:rPr>
          <w:rFonts w:asciiTheme="minorHAnsi" w:hAnsiTheme="minorHAnsi" w:cstheme="minorHAnsi"/>
        </w:rPr>
        <w:t xml:space="preserve"> All assignments given a fail grade should be moderated.</w:t>
      </w:r>
    </w:p>
    <w:p w14:paraId="6222F8E1" w14:textId="339F5BF4" w:rsidR="006C3974" w:rsidRPr="009B40D2" w:rsidRDefault="00AB651B">
      <w:pPr>
        <w:ind w:left="-5"/>
        <w:rPr>
          <w:rFonts w:asciiTheme="minorHAnsi" w:hAnsiTheme="minorHAnsi" w:cstheme="minorHAnsi"/>
        </w:rPr>
      </w:pPr>
      <w:r w:rsidRPr="009B40D2">
        <w:rPr>
          <w:rFonts w:asciiTheme="minorHAnsi" w:hAnsiTheme="minorHAnsi" w:cstheme="minorHAnsi"/>
        </w:rPr>
        <w:t>If any issues</w:t>
      </w:r>
      <w:r w:rsidR="00E93070" w:rsidRPr="009B40D2">
        <w:rPr>
          <w:rFonts w:asciiTheme="minorHAnsi" w:hAnsiTheme="minorHAnsi" w:cstheme="minorHAnsi"/>
        </w:rPr>
        <w:t>, such as inadequate feedback or inappropriate mark,</w:t>
      </w:r>
      <w:r w:rsidRPr="009B40D2">
        <w:rPr>
          <w:rFonts w:asciiTheme="minorHAnsi" w:hAnsiTheme="minorHAnsi" w:cstheme="minorHAnsi"/>
        </w:rPr>
        <w:t xml:space="preserve"> are identified, these should be discussed with the marker(s) concerned</w:t>
      </w:r>
      <w:r w:rsidR="00215510" w:rsidRPr="009B40D2">
        <w:rPr>
          <w:rFonts w:asciiTheme="minorHAnsi" w:hAnsiTheme="minorHAnsi" w:cstheme="minorHAnsi"/>
        </w:rPr>
        <w:t>.</w:t>
      </w:r>
      <w:r w:rsidRPr="009B40D2">
        <w:rPr>
          <w:rFonts w:asciiTheme="minorHAnsi" w:hAnsiTheme="minorHAnsi" w:cstheme="minorHAnsi"/>
        </w:rPr>
        <w:t xml:space="preserve"> </w:t>
      </w:r>
      <w:r w:rsidR="00215510" w:rsidRPr="009B40D2">
        <w:rPr>
          <w:rFonts w:asciiTheme="minorHAnsi" w:hAnsiTheme="minorHAnsi" w:cstheme="minorHAnsi"/>
        </w:rPr>
        <w:t xml:space="preserve">If required, adjustments to marks or feedback should be done at a marker level not the level of a single sample assignment. e.g.: all assignments by an individual marker or all assignments in a specific mark range should be reassessed by the original marker taking in to account the feedback from </w:t>
      </w:r>
      <w:r w:rsidR="00D968AD" w:rsidRPr="009B40D2">
        <w:rPr>
          <w:rFonts w:asciiTheme="minorHAnsi" w:hAnsiTheme="minorHAnsi" w:cstheme="minorHAnsi"/>
        </w:rPr>
        <w:t>moderators</w:t>
      </w:r>
      <w:r w:rsidR="00215510" w:rsidRPr="009B40D2">
        <w:rPr>
          <w:rFonts w:asciiTheme="minorHAnsi" w:hAnsiTheme="minorHAnsi" w:cstheme="minorHAnsi"/>
        </w:rPr>
        <w:t>.</w:t>
      </w:r>
    </w:p>
    <w:p w14:paraId="4C5F7615" w14:textId="2B6DDEA9" w:rsidR="006C3974" w:rsidRPr="009B40D2" w:rsidRDefault="006C3974">
      <w:pPr>
        <w:spacing w:after="0" w:line="259" w:lineRule="auto"/>
        <w:ind w:left="0" w:firstLine="0"/>
        <w:rPr>
          <w:rFonts w:asciiTheme="minorHAnsi" w:hAnsiTheme="minorHAnsi" w:cstheme="minorHAnsi"/>
        </w:rPr>
      </w:pPr>
    </w:p>
    <w:p w14:paraId="0541E005" w14:textId="6FE7C229" w:rsidR="00215510" w:rsidRPr="009B40D2" w:rsidRDefault="009F61A7" w:rsidP="00215510">
      <w:pPr>
        <w:pStyle w:val="Heading2"/>
        <w:numPr>
          <w:ilvl w:val="0"/>
          <w:numId w:val="0"/>
        </w:numPr>
        <w:ind w:left="14" w:hanging="10"/>
        <w:rPr>
          <w:rFonts w:asciiTheme="minorHAnsi" w:hAnsiTheme="minorHAnsi" w:cstheme="minorHAnsi"/>
        </w:rPr>
      </w:pPr>
      <w:r w:rsidRPr="009B40D2">
        <w:rPr>
          <w:rFonts w:asciiTheme="minorHAnsi" w:hAnsiTheme="minorHAnsi" w:cstheme="minorHAnsi"/>
        </w:rPr>
        <w:t>3.2</w:t>
      </w:r>
      <w:r w:rsidR="00AB651B" w:rsidRPr="009B40D2">
        <w:rPr>
          <w:rFonts w:asciiTheme="minorHAnsi" w:hAnsiTheme="minorHAnsi" w:cstheme="minorHAnsi"/>
        </w:rPr>
        <w:t xml:space="preserve"> </w:t>
      </w:r>
      <w:r w:rsidR="00215510" w:rsidRPr="009B40D2">
        <w:rPr>
          <w:rFonts w:asciiTheme="minorHAnsi" w:hAnsiTheme="minorHAnsi" w:cstheme="minorHAnsi"/>
        </w:rPr>
        <w:t xml:space="preserve">Double Marking  </w:t>
      </w:r>
    </w:p>
    <w:p w14:paraId="4B3BD1DE" w14:textId="77777777" w:rsidR="00215510" w:rsidRPr="009B40D2" w:rsidRDefault="00215510" w:rsidP="00215510">
      <w:pPr>
        <w:spacing w:after="0" w:line="259" w:lineRule="auto"/>
        <w:ind w:left="0" w:firstLine="0"/>
        <w:rPr>
          <w:rFonts w:asciiTheme="minorHAnsi" w:hAnsiTheme="minorHAnsi" w:cstheme="minorHAnsi"/>
        </w:rPr>
      </w:pPr>
      <w:r w:rsidRPr="009B40D2">
        <w:rPr>
          <w:rFonts w:asciiTheme="minorHAnsi" w:hAnsiTheme="minorHAnsi" w:cstheme="minorHAnsi"/>
          <w:b/>
        </w:rPr>
        <w:t xml:space="preserve"> </w:t>
      </w:r>
    </w:p>
    <w:p w14:paraId="7F5E3AA0" w14:textId="63FCD4F2" w:rsidR="00D968AD" w:rsidRPr="009B40D2" w:rsidRDefault="00D968AD" w:rsidP="00215510">
      <w:pPr>
        <w:ind w:left="-5"/>
        <w:rPr>
          <w:rFonts w:asciiTheme="minorHAnsi" w:hAnsiTheme="minorHAnsi" w:cstheme="minorHAnsi"/>
        </w:rPr>
      </w:pPr>
      <w:r w:rsidRPr="009B40D2">
        <w:rPr>
          <w:rFonts w:asciiTheme="minorHAnsi" w:hAnsiTheme="minorHAnsi" w:cstheme="minorHAnsi"/>
        </w:rPr>
        <w:t xml:space="preserve">Double marking is only required for individual assessment carrying at least 40 credits (this does not apply to any current </w:t>
      </w:r>
      <w:r w:rsidR="00802D93">
        <w:rPr>
          <w:rFonts w:asciiTheme="minorHAnsi" w:hAnsiTheme="minorHAnsi" w:cstheme="minorHAnsi"/>
        </w:rPr>
        <w:t>BMTO UG</w:t>
      </w:r>
      <w:r w:rsidRPr="009B40D2">
        <w:rPr>
          <w:rFonts w:asciiTheme="minorHAnsi" w:hAnsiTheme="minorHAnsi" w:cstheme="minorHAnsi"/>
        </w:rPr>
        <w:t xml:space="preserve"> assessments</w:t>
      </w:r>
      <w:proofErr w:type="gramStart"/>
      <w:r w:rsidRPr="009B40D2">
        <w:rPr>
          <w:rFonts w:asciiTheme="minorHAnsi" w:hAnsiTheme="minorHAnsi" w:cstheme="minorHAnsi"/>
        </w:rPr>
        <w:t>), but</w:t>
      </w:r>
      <w:proofErr w:type="gramEnd"/>
      <w:r w:rsidRPr="009B40D2">
        <w:rPr>
          <w:rFonts w:asciiTheme="minorHAnsi" w:hAnsiTheme="minorHAnsi" w:cstheme="minorHAnsi"/>
        </w:rPr>
        <w:t xml:space="preserve"> may be used in other circumstances such as individual high value assessments (e.g.: Y4 project reports) or assessments that require marking by two markers with different expertise. </w:t>
      </w:r>
      <w:r w:rsidR="00215510" w:rsidRPr="009B40D2">
        <w:rPr>
          <w:rFonts w:asciiTheme="minorHAnsi" w:hAnsiTheme="minorHAnsi" w:cstheme="minorHAnsi"/>
        </w:rPr>
        <w:t>Double Marking involves two markers, the first marker (or team of first markers) and the second marker (or team of second markers) marking all students’ work</w:t>
      </w:r>
      <w:proofErr w:type="gramStart"/>
      <w:r w:rsidR="00215510" w:rsidRPr="009B40D2">
        <w:rPr>
          <w:rFonts w:asciiTheme="minorHAnsi" w:hAnsiTheme="minorHAnsi" w:cstheme="minorHAnsi"/>
        </w:rPr>
        <w:t xml:space="preserve">.  </w:t>
      </w:r>
      <w:proofErr w:type="gramEnd"/>
      <w:r w:rsidRPr="009B40D2">
        <w:rPr>
          <w:rFonts w:asciiTheme="minorHAnsi" w:hAnsiTheme="minorHAnsi" w:cstheme="minorHAnsi"/>
        </w:rPr>
        <w:t>Where there are teams of markers each marking multiple assignments, each second marker should second mark assignments marked by a range of first markers.</w:t>
      </w:r>
    </w:p>
    <w:p w14:paraId="3BD4D9B8" w14:textId="77777777" w:rsidR="002D6FC4" w:rsidRPr="009B40D2" w:rsidRDefault="002D6FC4" w:rsidP="002D6FC4">
      <w:pPr>
        <w:ind w:left="-5"/>
        <w:rPr>
          <w:rFonts w:asciiTheme="minorHAnsi" w:hAnsiTheme="minorHAnsi" w:cstheme="minorHAnsi"/>
        </w:rPr>
      </w:pPr>
    </w:p>
    <w:p w14:paraId="50EF1860" w14:textId="1CFF895F" w:rsidR="00215510" w:rsidRPr="009B40D2" w:rsidRDefault="00215510" w:rsidP="009F61A7">
      <w:pPr>
        <w:ind w:left="0" w:firstLine="0"/>
        <w:rPr>
          <w:rFonts w:asciiTheme="minorHAnsi" w:hAnsiTheme="minorHAnsi" w:cstheme="minorHAnsi"/>
        </w:rPr>
      </w:pPr>
      <w:r w:rsidRPr="009B40D2">
        <w:rPr>
          <w:rFonts w:asciiTheme="minorHAnsi" w:hAnsiTheme="minorHAnsi" w:cstheme="minorHAnsi"/>
        </w:rPr>
        <w:t xml:space="preserve">There are two types of </w:t>
      </w:r>
      <w:proofErr w:type="gramStart"/>
      <w:r w:rsidRPr="009B40D2">
        <w:rPr>
          <w:rFonts w:asciiTheme="minorHAnsi" w:hAnsiTheme="minorHAnsi" w:cstheme="minorHAnsi"/>
        </w:rPr>
        <w:t>double-marking</w:t>
      </w:r>
      <w:proofErr w:type="gramEnd"/>
      <w:r w:rsidRPr="009B40D2">
        <w:rPr>
          <w:rFonts w:asciiTheme="minorHAnsi" w:hAnsiTheme="minorHAnsi" w:cstheme="minorHAnsi"/>
        </w:rPr>
        <w:t>: Blind Double Marking, and Non</w:t>
      </w:r>
      <w:r w:rsidR="00B20B89" w:rsidRPr="009B40D2">
        <w:rPr>
          <w:rFonts w:asciiTheme="minorHAnsi" w:hAnsiTheme="minorHAnsi" w:cstheme="minorHAnsi"/>
        </w:rPr>
        <w:t>-</w:t>
      </w:r>
      <w:r w:rsidRPr="009B40D2">
        <w:rPr>
          <w:rFonts w:asciiTheme="minorHAnsi" w:hAnsiTheme="minorHAnsi" w:cstheme="minorHAnsi"/>
        </w:rPr>
        <w:t xml:space="preserve">Blind Double Marking.    </w:t>
      </w:r>
    </w:p>
    <w:p w14:paraId="11B4208D" w14:textId="77777777" w:rsidR="009F61A7" w:rsidRPr="009B40D2" w:rsidRDefault="009F61A7" w:rsidP="009F61A7">
      <w:pPr>
        <w:ind w:left="-5"/>
        <w:rPr>
          <w:rFonts w:asciiTheme="minorHAnsi" w:hAnsiTheme="minorHAnsi" w:cstheme="minorHAnsi"/>
          <w:b/>
        </w:rPr>
      </w:pPr>
    </w:p>
    <w:p w14:paraId="3DD9335C" w14:textId="3679D8FD" w:rsidR="009F61A7" w:rsidRPr="009B40D2" w:rsidRDefault="00AB651B" w:rsidP="009F61A7">
      <w:pPr>
        <w:ind w:left="-5"/>
        <w:rPr>
          <w:rFonts w:asciiTheme="minorHAnsi" w:hAnsiTheme="minorHAnsi" w:cstheme="minorHAnsi"/>
        </w:rPr>
      </w:pPr>
      <w:r w:rsidRPr="009B40D2">
        <w:rPr>
          <w:rFonts w:asciiTheme="minorHAnsi" w:hAnsiTheme="minorHAnsi" w:cstheme="minorHAnsi"/>
          <w:b/>
        </w:rPr>
        <w:t>Blind Double Marking</w:t>
      </w:r>
      <w:r w:rsidRPr="009B40D2">
        <w:rPr>
          <w:rFonts w:asciiTheme="minorHAnsi" w:hAnsiTheme="minorHAnsi" w:cstheme="minorHAnsi"/>
        </w:rPr>
        <w:t xml:space="preserve">: The </w:t>
      </w:r>
      <w:r w:rsidR="00942814">
        <w:rPr>
          <w:rFonts w:asciiTheme="minorHAnsi" w:hAnsiTheme="minorHAnsi" w:cstheme="minorHAnsi"/>
        </w:rPr>
        <w:t>first marker and second marker</w:t>
      </w:r>
      <w:r w:rsidRPr="009B40D2">
        <w:rPr>
          <w:rFonts w:asciiTheme="minorHAnsi" w:hAnsiTheme="minorHAnsi" w:cstheme="minorHAnsi"/>
        </w:rPr>
        <w:t xml:space="preserve"> independently mark all students’ work. Marks and f</w:t>
      </w:r>
      <w:r w:rsidR="00942814">
        <w:rPr>
          <w:rFonts w:asciiTheme="minorHAnsi" w:hAnsiTheme="minorHAnsi" w:cstheme="minorHAnsi"/>
        </w:rPr>
        <w:t>eedback from the first marker</w:t>
      </w:r>
      <w:r w:rsidRPr="009B40D2">
        <w:rPr>
          <w:rFonts w:asciiTheme="minorHAnsi" w:hAnsiTheme="minorHAnsi" w:cstheme="minorHAnsi"/>
        </w:rPr>
        <w:t xml:space="preserve"> are not a</w:t>
      </w:r>
      <w:r w:rsidR="00942814">
        <w:rPr>
          <w:rFonts w:asciiTheme="minorHAnsi" w:hAnsiTheme="minorHAnsi" w:cstheme="minorHAnsi"/>
        </w:rPr>
        <w:t>vailable to the second marker</w:t>
      </w:r>
      <w:r w:rsidRPr="009B40D2">
        <w:rPr>
          <w:rFonts w:asciiTheme="minorHAnsi" w:hAnsiTheme="minorHAnsi" w:cstheme="minorHAnsi"/>
        </w:rPr>
        <w:t>, and vice versa.</w:t>
      </w:r>
      <w:r w:rsidR="002E0F0F">
        <w:rPr>
          <w:rFonts w:asciiTheme="minorHAnsi" w:hAnsiTheme="minorHAnsi" w:cstheme="minorHAnsi"/>
        </w:rPr>
        <w:t xml:space="preserve"> This form of marking is used for Y4 project reports</w:t>
      </w:r>
      <w:r w:rsidR="00CD77CC">
        <w:rPr>
          <w:rFonts w:asciiTheme="minorHAnsi" w:hAnsiTheme="minorHAnsi" w:cstheme="minorHAnsi"/>
        </w:rPr>
        <w:t xml:space="preserve"> in most programmes</w:t>
      </w:r>
      <w:r w:rsidR="002E0F0F">
        <w:rPr>
          <w:rFonts w:asciiTheme="minorHAnsi" w:hAnsiTheme="minorHAnsi" w:cstheme="minorHAnsi"/>
        </w:rPr>
        <w:t xml:space="preserve"> (dissertations).</w:t>
      </w:r>
      <w:r w:rsidRPr="009B40D2">
        <w:rPr>
          <w:rFonts w:asciiTheme="minorHAnsi" w:hAnsiTheme="minorHAnsi" w:cstheme="minorHAnsi"/>
        </w:rPr>
        <w:t xml:space="preserve"> </w:t>
      </w:r>
    </w:p>
    <w:p w14:paraId="371EFFFE" w14:textId="36D6B841" w:rsidR="006C3974" w:rsidRPr="009B40D2" w:rsidRDefault="00AB651B" w:rsidP="009F61A7">
      <w:pPr>
        <w:ind w:left="-5"/>
        <w:rPr>
          <w:rFonts w:asciiTheme="minorHAnsi" w:hAnsiTheme="minorHAnsi" w:cstheme="minorHAnsi"/>
        </w:rPr>
      </w:pPr>
      <w:r w:rsidRPr="009B40D2">
        <w:rPr>
          <w:rFonts w:asciiTheme="minorHAnsi" w:hAnsiTheme="minorHAnsi" w:cstheme="minorHAnsi"/>
        </w:rPr>
        <w:t>Marks from the two markers</w:t>
      </w:r>
      <w:r w:rsidRPr="009B40D2">
        <w:rPr>
          <w:rFonts w:asciiTheme="minorHAnsi" w:hAnsiTheme="minorHAnsi" w:cstheme="minorHAnsi"/>
          <w:b/>
        </w:rPr>
        <w:t xml:space="preserve"> </w:t>
      </w:r>
      <w:r w:rsidRPr="009B40D2">
        <w:rPr>
          <w:rFonts w:asciiTheme="minorHAnsi" w:hAnsiTheme="minorHAnsi" w:cstheme="minorHAnsi"/>
        </w:rPr>
        <w:t xml:space="preserve">are averaged to reach a single final mark </w:t>
      </w:r>
      <w:proofErr w:type="gramStart"/>
      <w:r w:rsidRPr="009B40D2">
        <w:rPr>
          <w:rFonts w:asciiTheme="minorHAnsi" w:hAnsiTheme="minorHAnsi" w:cstheme="minorHAnsi"/>
        </w:rPr>
        <w:t>as long as</w:t>
      </w:r>
      <w:proofErr w:type="gramEnd"/>
      <w:r w:rsidRPr="009B40D2">
        <w:rPr>
          <w:rFonts w:asciiTheme="minorHAnsi" w:hAnsiTheme="minorHAnsi" w:cstheme="minorHAnsi"/>
        </w:rPr>
        <w:t xml:space="preserve"> there is </w:t>
      </w:r>
      <w:r w:rsidR="009F61A7" w:rsidRPr="009B40D2">
        <w:rPr>
          <w:rFonts w:asciiTheme="minorHAnsi" w:hAnsiTheme="minorHAnsi" w:cstheme="minorHAnsi"/>
        </w:rPr>
        <w:t>a difference of 5</w:t>
      </w:r>
      <w:r w:rsidRPr="009B40D2">
        <w:rPr>
          <w:rFonts w:asciiTheme="minorHAnsi" w:hAnsiTheme="minorHAnsi" w:cstheme="minorHAnsi"/>
        </w:rPr>
        <w:t xml:space="preserve">% </w:t>
      </w:r>
      <w:r w:rsidR="009F61A7" w:rsidRPr="009B40D2">
        <w:rPr>
          <w:rFonts w:asciiTheme="minorHAnsi" w:hAnsiTheme="minorHAnsi" w:cstheme="minorHAnsi"/>
        </w:rPr>
        <w:t xml:space="preserve">or less </w:t>
      </w:r>
      <w:r w:rsidRPr="009B40D2">
        <w:rPr>
          <w:rFonts w:asciiTheme="minorHAnsi" w:hAnsiTheme="minorHAnsi" w:cstheme="minorHAnsi"/>
        </w:rPr>
        <w:t xml:space="preserve">between the </w:t>
      </w:r>
      <w:r w:rsidR="009F61A7" w:rsidRPr="009B40D2">
        <w:rPr>
          <w:rFonts w:asciiTheme="minorHAnsi" w:hAnsiTheme="minorHAnsi" w:cstheme="minorHAnsi"/>
        </w:rPr>
        <w:t>two</w:t>
      </w:r>
      <w:r w:rsidRPr="009B40D2">
        <w:rPr>
          <w:rFonts w:asciiTheme="minorHAnsi" w:hAnsiTheme="minorHAnsi" w:cstheme="minorHAnsi"/>
        </w:rPr>
        <w:t xml:space="preserve"> marks</w:t>
      </w:r>
      <w:r w:rsidR="009F61A7" w:rsidRPr="009B40D2">
        <w:rPr>
          <w:rFonts w:asciiTheme="minorHAnsi" w:hAnsiTheme="minorHAnsi" w:cstheme="minorHAnsi"/>
        </w:rPr>
        <w:t>.</w:t>
      </w:r>
      <w:r w:rsidR="00407A8B" w:rsidRPr="009B40D2">
        <w:rPr>
          <w:rFonts w:asciiTheme="minorHAnsi" w:hAnsiTheme="minorHAnsi" w:cstheme="minorHAnsi"/>
        </w:rPr>
        <w:t xml:space="preserve"> If the difference in marks is greater than 5% the two markers should discuss the mark and decide on a single final agreed mark.</w:t>
      </w:r>
      <w:r w:rsidR="00EF07D5">
        <w:rPr>
          <w:rFonts w:asciiTheme="minorHAnsi" w:hAnsiTheme="minorHAnsi" w:cstheme="minorHAnsi"/>
        </w:rPr>
        <w:t xml:space="preserve"> </w:t>
      </w:r>
      <w:r w:rsidR="00942814">
        <w:rPr>
          <w:rFonts w:asciiTheme="minorHAnsi" w:hAnsiTheme="minorHAnsi" w:cstheme="minorHAnsi"/>
        </w:rPr>
        <w:t xml:space="preserve">In this case, care should be taken to ensure that all feedback received by the student matches the final mark decided on. One or both markers may need to alter their feedback </w:t>
      </w:r>
      <w:proofErr w:type="gramStart"/>
      <w:r w:rsidR="00942814">
        <w:rPr>
          <w:rFonts w:asciiTheme="minorHAnsi" w:hAnsiTheme="minorHAnsi" w:cstheme="minorHAnsi"/>
        </w:rPr>
        <w:t>in light of</w:t>
      </w:r>
      <w:proofErr w:type="gramEnd"/>
      <w:r w:rsidR="00942814">
        <w:rPr>
          <w:rFonts w:asciiTheme="minorHAnsi" w:hAnsiTheme="minorHAnsi" w:cstheme="minorHAnsi"/>
        </w:rPr>
        <w:t xml:space="preserve"> the discussion between markers.</w:t>
      </w:r>
    </w:p>
    <w:p w14:paraId="047295CA" w14:textId="34FB7B57" w:rsidR="009F61A7" w:rsidRPr="009B40D2" w:rsidRDefault="009F61A7" w:rsidP="009F61A7">
      <w:pPr>
        <w:ind w:left="-5"/>
        <w:rPr>
          <w:rFonts w:asciiTheme="minorHAnsi" w:hAnsiTheme="minorHAnsi" w:cstheme="minorHAnsi"/>
        </w:rPr>
      </w:pPr>
      <w:r w:rsidRPr="009B40D2">
        <w:rPr>
          <w:rFonts w:asciiTheme="minorHAnsi" w:hAnsiTheme="minorHAnsi" w:cstheme="minorHAnsi"/>
        </w:rPr>
        <w:t>Double marking itself is considered a form of moderation</w:t>
      </w:r>
      <w:r w:rsidR="00F751DD">
        <w:rPr>
          <w:rFonts w:asciiTheme="minorHAnsi" w:hAnsiTheme="minorHAnsi" w:cstheme="minorHAnsi"/>
        </w:rPr>
        <w:t>;</w:t>
      </w:r>
      <w:r w:rsidR="00407A8B" w:rsidRPr="009B40D2">
        <w:rPr>
          <w:rFonts w:asciiTheme="minorHAnsi" w:hAnsiTheme="minorHAnsi" w:cstheme="minorHAnsi"/>
        </w:rPr>
        <w:t xml:space="preserve"> no further moderation is required unless first and second markers cannot agree on a final mark.</w:t>
      </w:r>
    </w:p>
    <w:p w14:paraId="26297F11" w14:textId="77777777" w:rsidR="009F61A7" w:rsidRPr="009B40D2" w:rsidRDefault="009F61A7">
      <w:pPr>
        <w:ind w:left="-5"/>
        <w:rPr>
          <w:rFonts w:asciiTheme="minorHAnsi" w:hAnsiTheme="minorHAnsi" w:cstheme="minorHAnsi"/>
          <w:b/>
        </w:rPr>
      </w:pPr>
    </w:p>
    <w:p w14:paraId="03F58C1E" w14:textId="72BBAD34" w:rsidR="006C3974" w:rsidRDefault="00AB651B" w:rsidP="00407A8B">
      <w:pPr>
        <w:ind w:left="-5"/>
        <w:rPr>
          <w:rFonts w:asciiTheme="minorHAnsi" w:hAnsiTheme="minorHAnsi" w:cstheme="minorHAnsi"/>
        </w:rPr>
      </w:pPr>
      <w:r w:rsidRPr="009B40D2">
        <w:rPr>
          <w:rFonts w:asciiTheme="minorHAnsi" w:hAnsiTheme="minorHAnsi" w:cstheme="minorHAnsi"/>
          <w:b/>
        </w:rPr>
        <w:t>Non-Blind Double Marking</w:t>
      </w:r>
      <w:r w:rsidRPr="009B40D2">
        <w:rPr>
          <w:rFonts w:asciiTheme="minorHAnsi" w:hAnsiTheme="minorHAnsi" w:cstheme="minorHAnsi"/>
        </w:rPr>
        <w:t>:</w:t>
      </w:r>
      <w:r w:rsidR="00407A8B" w:rsidRPr="009B40D2">
        <w:rPr>
          <w:rFonts w:asciiTheme="minorHAnsi" w:hAnsiTheme="minorHAnsi" w:cstheme="minorHAnsi"/>
        </w:rPr>
        <w:t xml:space="preserve"> </w:t>
      </w:r>
      <w:r w:rsidRPr="009B40D2">
        <w:rPr>
          <w:rFonts w:asciiTheme="minorHAnsi" w:hAnsiTheme="minorHAnsi" w:cstheme="minorHAnsi"/>
        </w:rPr>
        <w:t xml:space="preserve">A first marker (or team of first markers) marks the assessment and produces feedback. The assessment, first marker’s mark and feedback </w:t>
      </w:r>
      <w:proofErr w:type="gramStart"/>
      <w:r w:rsidRPr="009B40D2">
        <w:rPr>
          <w:rFonts w:asciiTheme="minorHAnsi" w:hAnsiTheme="minorHAnsi" w:cstheme="minorHAnsi"/>
        </w:rPr>
        <w:t>is</w:t>
      </w:r>
      <w:proofErr w:type="gramEnd"/>
      <w:r w:rsidRPr="009B40D2">
        <w:rPr>
          <w:rFonts w:asciiTheme="minorHAnsi" w:hAnsiTheme="minorHAnsi" w:cstheme="minorHAnsi"/>
        </w:rPr>
        <w:t xml:space="preserve"> then passed to the second marker (or team of second markers) for marking and feedback.</w:t>
      </w:r>
      <w:r w:rsidR="00407A8B" w:rsidRPr="009B40D2">
        <w:rPr>
          <w:rFonts w:asciiTheme="minorHAnsi" w:hAnsiTheme="minorHAnsi" w:cstheme="minorHAnsi"/>
        </w:rPr>
        <w:t xml:space="preserve"> This approach may be especially useful where the first marker, but not the second marker, is a subject expert.</w:t>
      </w:r>
      <w:r w:rsidRPr="009B40D2">
        <w:rPr>
          <w:rFonts w:asciiTheme="minorHAnsi" w:hAnsiTheme="minorHAnsi" w:cstheme="minorHAnsi"/>
        </w:rPr>
        <w:t xml:space="preserve"> If the </w:t>
      </w:r>
      <w:r w:rsidR="00942814">
        <w:rPr>
          <w:rFonts w:asciiTheme="minorHAnsi" w:hAnsiTheme="minorHAnsi" w:cstheme="minorHAnsi"/>
        </w:rPr>
        <w:t>second marker agrees that the first marker’s mark is appropriate to within 5%</w:t>
      </w:r>
      <w:r w:rsidRPr="009B40D2">
        <w:rPr>
          <w:rFonts w:asciiTheme="minorHAnsi" w:hAnsiTheme="minorHAnsi" w:cstheme="minorHAnsi"/>
        </w:rPr>
        <w:t xml:space="preserve">, then </w:t>
      </w:r>
      <w:r w:rsidR="00942814">
        <w:rPr>
          <w:rFonts w:asciiTheme="minorHAnsi" w:hAnsiTheme="minorHAnsi" w:cstheme="minorHAnsi"/>
        </w:rPr>
        <w:t xml:space="preserve">the first marker’s </w:t>
      </w:r>
      <w:r w:rsidRPr="009B40D2">
        <w:rPr>
          <w:rFonts w:asciiTheme="minorHAnsi" w:hAnsiTheme="minorHAnsi" w:cstheme="minorHAnsi"/>
        </w:rPr>
        <w:t>mark</w:t>
      </w:r>
      <w:r w:rsidR="00942814">
        <w:rPr>
          <w:rFonts w:asciiTheme="minorHAnsi" w:hAnsiTheme="minorHAnsi" w:cstheme="minorHAnsi"/>
        </w:rPr>
        <w:t xml:space="preserve"> is used</w:t>
      </w:r>
      <w:r w:rsidRPr="009B40D2">
        <w:rPr>
          <w:rFonts w:asciiTheme="minorHAnsi" w:hAnsiTheme="minorHAnsi" w:cstheme="minorHAnsi"/>
        </w:rPr>
        <w:t xml:space="preserve">. If not, the </w:t>
      </w:r>
      <w:r w:rsidR="00942814">
        <w:rPr>
          <w:rFonts w:asciiTheme="minorHAnsi" w:hAnsiTheme="minorHAnsi" w:cstheme="minorHAnsi"/>
        </w:rPr>
        <w:t>first marker and second marker</w:t>
      </w:r>
      <w:r w:rsidRPr="009B40D2">
        <w:rPr>
          <w:rFonts w:asciiTheme="minorHAnsi" w:hAnsiTheme="minorHAnsi" w:cstheme="minorHAnsi"/>
        </w:rPr>
        <w:t xml:space="preserve"> will discuss the assessment and try to reach a consensus decision regarding the mark, using the same options available for Blind Double Marking. </w:t>
      </w:r>
    </w:p>
    <w:p w14:paraId="24F09D0D" w14:textId="7E0D29CE" w:rsidR="00942814" w:rsidRDefault="00942814" w:rsidP="00407A8B">
      <w:pPr>
        <w:ind w:left="-5"/>
        <w:rPr>
          <w:rFonts w:asciiTheme="minorHAnsi" w:hAnsiTheme="minorHAnsi" w:cstheme="minorHAnsi"/>
        </w:rPr>
      </w:pPr>
    </w:p>
    <w:p w14:paraId="5A09C563" w14:textId="0EF88C3A" w:rsidR="00942814" w:rsidRPr="009B40D2" w:rsidRDefault="00942814" w:rsidP="00407A8B">
      <w:pPr>
        <w:ind w:left="-5"/>
        <w:rPr>
          <w:rFonts w:asciiTheme="minorHAnsi" w:hAnsiTheme="minorHAnsi" w:cstheme="minorHAnsi"/>
        </w:rPr>
      </w:pPr>
      <w:r>
        <w:rPr>
          <w:rFonts w:asciiTheme="minorHAnsi" w:hAnsiTheme="minorHAnsi" w:cstheme="minorHAnsi"/>
          <w:b/>
        </w:rPr>
        <w:t xml:space="preserve">Note on 5% marking discrepancy: </w:t>
      </w:r>
      <w:r>
        <w:rPr>
          <w:rFonts w:asciiTheme="minorHAnsi" w:hAnsiTheme="minorHAnsi" w:cstheme="minorHAnsi"/>
        </w:rPr>
        <w:t>A Deanery-wide decision was taken for markers to discuss any mark where double markers have &gt; 5% discrepancy. This decision was based on feedback from multiple external examiners. Different levels of discrepancy are used in other areas of the university.</w:t>
      </w:r>
    </w:p>
    <w:p w14:paraId="7E0D0814" w14:textId="77777777" w:rsidR="006C3974" w:rsidRPr="009B40D2" w:rsidRDefault="00AB651B">
      <w:pPr>
        <w:spacing w:after="0" w:line="259" w:lineRule="auto"/>
        <w:ind w:left="0" w:firstLine="0"/>
        <w:rPr>
          <w:rFonts w:asciiTheme="minorHAnsi" w:hAnsiTheme="minorHAnsi" w:cstheme="minorHAnsi"/>
        </w:rPr>
      </w:pPr>
      <w:r w:rsidRPr="009B40D2">
        <w:rPr>
          <w:rFonts w:asciiTheme="minorHAnsi" w:hAnsiTheme="minorHAnsi" w:cstheme="minorHAnsi"/>
        </w:rPr>
        <w:t xml:space="preserve"> </w:t>
      </w:r>
    </w:p>
    <w:p w14:paraId="54FBD569" w14:textId="117375E5" w:rsidR="006C3974" w:rsidRPr="009B40D2" w:rsidRDefault="00407A8B">
      <w:pPr>
        <w:ind w:left="-5"/>
        <w:rPr>
          <w:rFonts w:asciiTheme="minorHAnsi" w:hAnsiTheme="minorHAnsi" w:cstheme="minorHAnsi"/>
        </w:rPr>
      </w:pPr>
      <w:r w:rsidRPr="009B40D2">
        <w:rPr>
          <w:rFonts w:asciiTheme="minorHAnsi" w:hAnsiTheme="minorHAnsi" w:cstheme="minorHAnsi"/>
          <w:b/>
        </w:rPr>
        <w:t xml:space="preserve">Double Marking </w:t>
      </w:r>
      <w:r w:rsidR="00AB651B" w:rsidRPr="009B40D2">
        <w:rPr>
          <w:rFonts w:asciiTheme="minorHAnsi" w:hAnsiTheme="minorHAnsi" w:cstheme="minorHAnsi"/>
          <w:b/>
        </w:rPr>
        <w:t xml:space="preserve">Moderation: </w:t>
      </w:r>
      <w:r w:rsidR="00AB651B" w:rsidRPr="009B40D2">
        <w:rPr>
          <w:rFonts w:asciiTheme="minorHAnsi" w:hAnsiTheme="minorHAnsi" w:cstheme="minorHAnsi"/>
        </w:rPr>
        <w:t xml:space="preserve">When the first and second markers are unable to agree on a final mark, a third (non-blind) marker will be used as a moderator. The work is passed to the moderator (third marker) who marks the assessment with the first and second markers feedback and marks available to review. The moderator </w:t>
      </w:r>
      <w:proofErr w:type="gramStart"/>
      <w:r w:rsidR="00AB651B" w:rsidRPr="009B40D2">
        <w:rPr>
          <w:rFonts w:asciiTheme="minorHAnsi" w:hAnsiTheme="minorHAnsi" w:cstheme="minorHAnsi"/>
        </w:rPr>
        <w:t>takes into account</w:t>
      </w:r>
      <w:proofErr w:type="gramEnd"/>
      <w:r w:rsidR="00AB651B" w:rsidRPr="009B40D2">
        <w:rPr>
          <w:rFonts w:asciiTheme="minorHAnsi" w:hAnsiTheme="minorHAnsi" w:cstheme="minorHAnsi"/>
        </w:rPr>
        <w:t xml:space="preserve"> all available information (the assessment, the two marking records</w:t>
      </w:r>
      <w:r w:rsidR="00B36B40" w:rsidRPr="009B40D2">
        <w:rPr>
          <w:rFonts w:asciiTheme="minorHAnsi" w:hAnsiTheme="minorHAnsi" w:cstheme="minorHAnsi"/>
        </w:rPr>
        <w:t xml:space="preserve"> (including the markers’ feedback)</w:t>
      </w:r>
      <w:r w:rsidR="00AB651B" w:rsidRPr="009B40D2">
        <w:rPr>
          <w:rFonts w:asciiTheme="minorHAnsi" w:hAnsiTheme="minorHAnsi" w:cstheme="minorHAnsi"/>
        </w:rPr>
        <w:t xml:space="preserve">, and the agreed marking record if available) and comes up with a moderated mark, which is recorded on a marking form. </w:t>
      </w:r>
      <w:r w:rsidR="00EF07D5">
        <w:rPr>
          <w:rFonts w:asciiTheme="minorHAnsi" w:hAnsiTheme="minorHAnsi" w:cstheme="minorHAnsi"/>
        </w:rPr>
        <w:t>This third marker has the final decision on the student mark</w:t>
      </w:r>
      <w:proofErr w:type="gramStart"/>
      <w:r w:rsidR="00EF07D5">
        <w:rPr>
          <w:rFonts w:asciiTheme="minorHAnsi" w:hAnsiTheme="minorHAnsi" w:cstheme="minorHAnsi"/>
        </w:rPr>
        <w:t>.</w:t>
      </w:r>
      <w:r w:rsidR="00AB651B" w:rsidRPr="009B40D2">
        <w:rPr>
          <w:rFonts w:asciiTheme="minorHAnsi" w:hAnsiTheme="minorHAnsi" w:cstheme="minorHAnsi"/>
        </w:rPr>
        <w:t xml:space="preserve">  </w:t>
      </w:r>
      <w:proofErr w:type="gramEnd"/>
    </w:p>
    <w:p w14:paraId="5C36F795" w14:textId="77777777" w:rsidR="006C3974" w:rsidRPr="009B40D2" w:rsidRDefault="00AB651B">
      <w:pPr>
        <w:spacing w:after="0" w:line="259" w:lineRule="auto"/>
        <w:ind w:left="0" w:firstLine="0"/>
        <w:rPr>
          <w:rFonts w:asciiTheme="minorHAnsi" w:hAnsiTheme="minorHAnsi" w:cstheme="minorHAnsi"/>
        </w:rPr>
      </w:pPr>
      <w:r w:rsidRPr="009B40D2">
        <w:rPr>
          <w:rFonts w:asciiTheme="minorHAnsi" w:hAnsiTheme="minorHAnsi" w:cstheme="minorHAnsi"/>
        </w:rPr>
        <w:t xml:space="preserve"> </w:t>
      </w:r>
    </w:p>
    <w:p w14:paraId="43C4F22F" w14:textId="77777777" w:rsidR="006C3974" w:rsidRPr="009B40D2" w:rsidRDefault="00AB651B">
      <w:pPr>
        <w:pStyle w:val="Heading1"/>
        <w:ind w:left="225" w:hanging="240"/>
        <w:rPr>
          <w:rFonts w:asciiTheme="minorHAnsi" w:hAnsiTheme="minorHAnsi" w:cstheme="minorHAnsi"/>
        </w:rPr>
      </w:pPr>
      <w:r w:rsidRPr="009B40D2">
        <w:rPr>
          <w:rFonts w:asciiTheme="minorHAnsi" w:hAnsiTheme="minorHAnsi" w:cstheme="minorHAnsi"/>
        </w:rPr>
        <w:t xml:space="preserve">Records of Moderation </w:t>
      </w:r>
    </w:p>
    <w:p w14:paraId="758BD3DB" w14:textId="77777777" w:rsidR="006C3974" w:rsidRPr="009B40D2" w:rsidRDefault="00AB651B">
      <w:pPr>
        <w:spacing w:after="0" w:line="259" w:lineRule="auto"/>
        <w:ind w:left="0" w:firstLine="0"/>
        <w:rPr>
          <w:rFonts w:asciiTheme="minorHAnsi" w:hAnsiTheme="minorHAnsi" w:cstheme="minorHAnsi"/>
        </w:rPr>
      </w:pPr>
      <w:r w:rsidRPr="009B40D2">
        <w:rPr>
          <w:rFonts w:asciiTheme="minorHAnsi" w:hAnsiTheme="minorHAnsi" w:cstheme="minorHAnsi"/>
        </w:rPr>
        <w:t xml:space="preserve"> </w:t>
      </w:r>
    </w:p>
    <w:p w14:paraId="104B7026" w14:textId="10E67118" w:rsidR="006C3974" w:rsidRPr="009B40D2" w:rsidRDefault="00AB651B">
      <w:pPr>
        <w:ind w:left="-5"/>
        <w:rPr>
          <w:rFonts w:asciiTheme="minorHAnsi" w:hAnsiTheme="minorHAnsi" w:cstheme="minorHAnsi"/>
        </w:rPr>
      </w:pPr>
      <w:r w:rsidRPr="009B40D2">
        <w:rPr>
          <w:rFonts w:asciiTheme="minorHAnsi" w:hAnsiTheme="minorHAnsi" w:cstheme="minorHAnsi"/>
        </w:rPr>
        <w:t>All moderation and assessment mark changes must be recorded</w:t>
      </w:r>
      <w:r w:rsidR="00B36B40" w:rsidRPr="009B40D2">
        <w:rPr>
          <w:rFonts w:asciiTheme="minorHAnsi" w:hAnsiTheme="minorHAnsi" w:cstheme="minorHAnsi"/>
        </w:rPr>
        <w:t xml:space="preserve"> and sent to the Course Administrator with the finalised set of provisional marks for each moderated assessment</w:t>
      </w:r>
      <w:r w:rsidRPr="009B40D2">
        <w:rPr>
          <w:rFonts w:asciiTheme="minorHAnsi" w:hAnsiTheme="minorHAnsi" w:cstheme="minorHAnsi"/>
        </w:rPr>
        <w:t xml:space="preserve">. </w:t>
      </w:r>
      <w:r w:rsidR="006F353F" w:rsidRPr="009B40D2">
        <w:rPr>
          <w:rFonts w:asciiTheme="minorHAnsi" w:hAnsiTheme="minorHAnsi" w:cstheme="minorHAnsi"/>
        </w:rPr>
        <w:t>A record template is included in the appendix.</w:t>
      </w:r>
      <w:r w:rsidRPr="009B40D2">
        <w:rPr>
          <w:rFonts w:asciiTheme="minorHAnsi" w:hAnsiTheme="minorHAnsi" w:cstheme="minorHAnsi"/>
        </w:rPr>
        <w:t xml:space="preserve"> Records must show what decisions were made (including where marks are not altered) and why decisions have been taken. </w:t>
      </w:r>
    </w:p>
    <w:p w14:paraId="391A1163" w14:textId="77777777" w:rsidR="006C3974" w:rsidRPr="009B40D2" w:rsidRDefault="00AB651B">
      <w:pPr>
        <w:spacing w:after="0" w:line="259" w:lineRule="auto"/>
        <w:ind w:left="0" w:firstLine="0"/>
        <w:rPr>
          <w:rFonts w:asciiTheme="minorHAnsi" w:hAnsiTheme="minorHAnsi" w:cstheme="minorHAnsi"/>
        </w:rPr>
      </w:pPr>
      <w:r w:rsidRPr="009B40D2">
        <w:rPr>
          <w:rFonts w:asciiTheme="minorHAnsi" w:hAnsiTheme="minorHAnsi" w:cstheme="minorHAnsi"/>
          <w:b/>
        </w:rPr>
        <w:t xml:space="preserve"> </w:t>
      </w:r>
    </w:p>
    <w:p w14:paraId="3819C38E" w14:textId="77777777" w:rsidR="006C3974" w:rsidRPr="009B40D2" w:rsidRDefault="00AB651B">
      <w:pPr>
        <w:pStyle w:val="Heading1"/>
        <w:ind w:left="285" w:hanging="300"/>
        <w:rPr>
          <w:rFonts w:asciiTheme="minorHAnsi" w:hAnsiTheme="minorHAnsi" w:cstheme="minorHAnsi"/>
        </w:rPr>
      </w:pPr>
      <w:r w:rsidRPr="009B40D2">
        <w:rPr>
          <w:rFonts w:asciiTheme="minorHAnsi" w:hAnsiTheme="minorHAnsi" w:cstheme="minorHAnsi"/>
        </w:rPr>
        <w:t xml:space="preserve">Moderation of </w:t>
      </w:r>
      <w:proofErr w:type="gramStart"/>
      <w:r w:rsidRPr="009B40D2">
        <w:rPr>
          <w:rFonts w:asciiTheme="minorHAnsi" w:hAnsiTheme="minorHAnsi" w:cstheme="minorHAnsi"/>
        </w:rPr>
        <w:t>Multiple Choice</w:t>
      </w:r>
      <w:proofErr w:type="gramEnd"/>
      <w:r w:rsidRPr="009B40D2">
        <w:rPr>
          <w:rFonts w:asciiTheme="minorHAnsi" w:hAnsiTheme="minorHAnsi" w:cstheme="minorHAnsi"/>
        </w:rPr>
        <w:t xml:space="preserve"> Assessments </w:t>
      </w:r>
    </w:p>
    <w:p w14:paraId="4F6FE817" w14:textId="77777777" w:rsidR="006C3974" w:rsidRPr="009B40D2" w:rsidRDefault="00AB651B">
      <w:pPr>
        <w:spacing w:after="0" w:line="259" w:lineRule="auto"/>
        <w:ind w:left="0" w:firstLine="0"/>
        <w:rPr>
          <w:rFonts w:asciiTheme="minorHAnsi" w:hAnsiTheme="minorHAnsi" w:cstheme="minorHAnsi"/>
        </w:rPr>
      </w:pPr>
      <w:r w:rsidRPr="009B40D2">
        <w:rPr>
          <w:rFonts w:asciiTheme="minorHAnsi" w:hAnsiTheme="minorHAnsi" w:cstheme="minorHAnsi"/>
          <w:b/>
        </w:rPr>
        <w:t xml:space="preserve"> </w:t>
      </w:r>
    </w:p>
    <w:p w14:paraId="13279B77" w14:textId="6B09A742" w:rsidR="006C3974" w:rsidRPr="009B40D2" w:rsidRDefault="00AB651B">
      <w:pPr>
        <w:ind w:left="-5"/>
        <w:rPr>
          <w:rFonts w:asciiTheme="minorHAnsi" w:hAnsiTheme="minorHAnsi" w:cstheme="minorHAnsi"/>
          <w:szCs w:val="24"/>
        </w:rPr>
      </w:pPr>
      <w:r w:rsidRPr="009B40D2">
        <w:rPr>
          <w:rFonts w:asciiTheme="minorHAnsi" w:hAnsiTheme="minorHAnsi" w:cstheme="minorHAnsi"/>
          <w:szCs w:val="24"/>
        </w:rPr>
        <w:t xml:space="preserve">Multiple choice exam questions should be moderated by carrying out quality assurance checks. A discipline expert should check that all questions, </w:t>
      </w:r>
      <w:proofErr w:type="gramStart"/>
      <w:r w:rsidRPr="009B40D2">
        <w:rPr>
          <w:rFonts w:asciiTheme="minorHAnsi" w:hAnsiTheme="minorHAnsi" w:cstheme="minorHAnsi"/>
          <w:szCs w:val="24"/>
        </w:rPr>
        <w:t>answers</w:t>
      </w:r>
      <w:proofErr w:type="gramEnd"/>
      <w:r w:rsidRPr="009B40D2">
        <w:rPr>
          <w:rFonts w:asciiTheme="minorHAnsi" w:hAnsiTheme="minorHAnsi" w:cstheme="minorHAnsi"/>
          <w:szCs w:val="24"/>
        </w:rPr>
        <w:t xml:space="preserve"> and explanations adequately assess learning outcomes, are correct and are non-ambiguous. After questions have appeared in an exam paper, item analysis should be used to validate how questions have performed.</w:t>
      </w:r>
      <w:r w:rsidR="00E93070" w:rsidRPr="009B40D2">
        <w:rPr>
          <w:rFonts w:asciiTheme="minorHAnsi" w:hAnsiTheme="minorHAnsi" w:cstheme="minorHAnsi"/>
          <w:szCs w:val="24"/>
        </w:rPr>
        <w:t xml:space="preserve"> Item analysis involves reviewing the distribution of answers given by students for each question. This data is available for both online exams run through Blackboard and in-person exams that are machine-marked.</w:t>
      </w:r>
      <w:r w:rsidRPr="009B40D2">
        <w:rPr>
          <w:rFonts w:asciiTheme="minorHAnsi" w:hAnsiTheme="minorHAnsi" w:cstheme="minorHAnsi"/>
          <w:szCs w:val="24"/>
        </w:rPr>
        <w:t xml:space="preserve"> The results from item analysis will allow ambiguous or misleading questions to be eliminated, or for improvements to made to questions for use in later assessments.</w:t>
      </w:r>
    </w:p>
    <w:p w14:paraId="7183E74A" w14:textId="77777777" w:rsidR="006C3974" w:rsidRPr="009B40D2" w:rsidRDefault="00AB651B">
      <w:pPr>
        <w:spacing w:after="0" w:line="259" w:lineRule="auto"/>
        <w:ind w:left="0" w:firstLine="0"/>
        <w:rPr>
          <w:rFonts w:asciiTheme="minorHAnsi" w:hAnsiTheme="minorHAnsi" w:cstheme="minorHAnsi"/>
        </w:rPr>
      </w:pPr>
      <w:r w:rsidRPr="009B40D2">
        <w:rPr>
          <w:rFonts w:asciiTheme="minorHAnsi" w:hAnsiTheme="minorHAnsi" w:cstheme="minorHAnsi"/>
        </w:rPr>
        <w:t xml:space="preserve"> </w:t>
      </w:r>
    </w:p>
    <w:p w14:paraId="6C4CF186" w14:textId="77777777" w:rsidR="006C3974" w:rsidRPr="009B40D2" w:rsidRDefault="00AB651B">
      <w:pPr>
        <w:pStyle w:val="Heading1"/>
        <w:ind w:left="225" w:hanging="240"/>
        <w:rPr>
          <w:rFonts w:asciiTheme="minorHAnsi" w:hAnsiTheme="minorHAnsi" w:cstheme="minorHAnsi"/>
        </w:rPr>
      </w:pPr>
      <w:r w:rsidRPr="009B40D2">
        <w:rPr>
          <w:rFonts w:asciiTheme="minorHAnsi" w:hAnsiTheme="minorHAnsi" w:cstheme="minorHAnsi"/>
        </w:rPr>
        <w:t xml:space="preserve">Good Practice </w:t>
      </w:r>
    </w:p>
    <w:p w14:paraId="0119C745" w14:textId="236DE9B3" w:rsidR="00EF07D5" w:rsidRDefault="00EF07D5">
      <w:pPr>
        <w:numPr>
          <w:ilvl w:val="0"/>
          <w:numId w:val="1"/>
        </w:numPr>
        <w:spacing w:after="34"/>
        <w:ind w:hanging="360"/>
        <w:rPr>
          <w:rFonts w:asciiTheme="minorHAnsi" w:hAnsiTheme="minorHAnsi" w:cstheme="minorHAnsi"/>
        </w:rPr>
      </w:pPr>
      <w:r>
        <w:rPr>
          <w:rFonts w:asciiTheme="minorHAnsi" w:hAnsiTheme="minorHAnsi" w:cstheme="minorHAnsi"/>
        </w:rPr>
        <w:t xml:space="preserve">Where marks have been adjusted by moderation, moderators must ensure that feedback is still consistent with the mark. </w:t>
      </w:r>
    </w:p>
    <w:p w14:paraId="027BC422" w14:textId="4D1A32C0" w:rsidR="006C3974" w:rsidRPr="009B40D2" w:rsidRDefault="00AB651B">
      <w:pPr>
        <w:numPr>
          <w:ilvl w:val="0"/>
          <w:numId w:val="1"/>
        </w:numPr>
        <w:spacing w:after="34"/>
        <w:ind w:hanging="360"/>
        <w:rPr>
          <w:rFonts w:asciiTheme="minorHAnsi" w:hAnsiTheme="minorHAnsi" w:cstheme="minorHAnsi"/>
        </w:rPr>
      </w:pPr>
      <w:r w:rsidRPr="009B40D2">
        <w:rPr>
          <w:rFonts w:asciiTheme="minorHAnsi" w:hAnsiTheme="minorHAnsi" w:cstheme="minorHAnsi"/>
        </w:rPr>
        <w:lastRenderedPageBreak/>
        <w:t xml:space="preserve">Marking </w:t>
      </w:r>
      <w:r w:rsidR="007A5080" w:rsidRPr="009B40D2">
        <w:rPr>
          <w:rFonts w:asciiTheme="minorHAnsi" w:hAnsiTheme="minorHAnsi" w:cstheme="minorHAnsi"/>
        </w:rPr>
        <w:t xml:space="preserve">schemes </w:t>
      </w:r>
      <w:r w:rsidRPr="009B40D2">
        <w:rPr>
          <w:rFonts w:asciiTheme="minorHAnsi" w:hAnsiTheme="minorHAnsi" w:cstheme="minorHAnsi"/>
        </w:rPr>
        <w:t xml:space="preserve">must be made available to all students at the start of each course and programme. </w:t>
      </w:r>
    </w:p>
    <w:p w14:paraId="611FECDE" w14:textId="594DE1DC" w:rsidR="006C3974" w:rsidRPr="009B40D2" w:rsidRDefault="00AB651B">
      <w:pPr>
        <w:numPr>
          <w:ilvl w:val="0"/>
          <w:numId w:val="1"/>
        </w:numPr>
        <w:spacing w:after="33"/>
        <w:ind w:hanging="360"/>
        <w:rPr>
          <w:rFonts w:asciiTheme="minorHAnsi" w:hAnsiTheme="minorHAnsi" w:cstheme="minorHAnsi"/>
        </w:rPr>
      </w:pPr>
      <w:r w:rsidRPr="009B40D2">
        <w:rPr>
          <w:rFonts w:asciiTheme="minorHAnsi" w:hAnsiTheme="minorHAnsi" w:cstheme="minorHAnsi"/>
        </w:rPr>
        <w:t xml:space="preserve">Marker packs should be provided to all markers and moderators. Packs will include marking </w:t>
      </w:r>
      <w:r w:rsidR="00E93070" w:rsidRPr="009B40D2">
        <w:rPr>
          <w:rFonts w:asciiTheme="minorHAnsi" w:hAnsiTheme="minorHAnsi" w:cstheme="minorHAnsi"/>
        </w:rPr>
        <w:t>schemes; assessment guidance supplied to students</w:t>
      </w:r>
      <w:r w:rsidRPr="009B40D2">
        <w:rPr>
          <w:rFonts w:asciiTheme="minorHAnsi" w:hAnsiTheme="minorHAnsi" w:cstheme="minorHAnsi"/>
        </w:rPr>
        <w:t xml:space="preserve">; marking guidelines and records; and moderation guidelines and records. </w:t>
      </w:r>
    </w:p>
    <w:p w14:paraId="20CEFA69" w14:textId="77777777" w:rsidR="006C3974" w:rsidRPr="009B40D2" w:rsidRDefault="00AB651B">
      <w:pPr>
        <w:numPr>
          <w:ilvl w:val="0"/>
          <w:numId w:val="1"/>
        </w:numPr>
        <w:ind w:hanging="360"/>
        <w:rPr>
          <w:rFonts w:asciiTheme="minorHAnsi" w:hAnsiTheme="minorHAnsi" w:cstheme="minorHAnsi"/>
        </w:rPr>
      </w:pPr>
      <w:r w:rsidRPr="009B40D2">
        <w:rPr>
          <w:rFonts w:asciiTheme="minorHAnsi" w:hAnsiTheme="minorHAnsi" w:cstheme="minorHAnsi"/>
        </w:rPr>
        <w:t xml:space="preserve">Records of all marking and moderation must be kept up to date and retained on file. </w:t>
      </w:r>
    </w:p>
    <w:p w14:paraId="11C51ACC" w14:textId="4EA60352" w:rsidR="006F353F" w:rsidRPr="009B40D2" w:rsidRDefault="006F353F">
      <w:pPr>
        <w:spacing w:after="160" w:line="259" w:lineRule="auto"/>
        <w:ind w:left="0" w:firstLine="0"/>
        <w:rPr>
          <w:rFonts w:asciiTheme="minorHAnsi" w:hAnsiTheme="minorHAnsi" w:cstheme="minorHAnsi"/>
        </w:rPr>
      </w:pPr>
    </w:p>
    <w:p w14:paraId="76F1F70E" w14:textId="77777777" w:rsidR="00E93070" w:rsidRPr="009B40D2" w:rsidRDefault="00E93070">
      <w:pPr>
        <w:spacing w:after="160" w:line="259" w:lineRule="auto"/>
        <w:ind w:left="0" w:firstLine="0"/>
        <w:rPr>
          <w:rFonts w:asciiTheme="minorHAnsi" w:eastAsiaTheme="minorHAnsi" w:hAnsiTheme="minorHAnsi" w:cstheme="minorBidi"/>
          <w:b/>
          <w:color w:val="auto"/>
          <w:lang w:eastAsia="en-US"/>
        </w:rPr>
      </w:pPr>
      <w:r w:rsidRPr="009B40D2">
        <w:rPr>
          <w:rFonts w:asciiTheme="minorHAnsi" w:eastAsiaTheme="minorHAnsi" w:hAnsiTheme="minorHAnsi" w:cstheme="minorBidi"/>
          <w:b/>
          <w:color w:val="auto"/>
          <w:lang w:eastAsia="en-US"/>
        </w:rPr>
        <w:br w:type="page"/>
      </w:r>
    </w:p>
    <w:p w14:paraId="02D4821C" w14:textId="20D06CFD" w:rsidR="006F353F" w:rsidRPr="009B40D2" w:rsidRDefault="006F353F" w:rsidP="006F353F">
      <w:pPr>
        <w:spacing w:after="160" w:line="259" w:lineRule="auto"/>
        <w:ind w:left="0" w:firstLine="0"/>
        <w:rPr>
          <w:rFonts w:asciiTheme="minorHAnsi" w:eastAsiaTheme="minorHAnsi" w:hAnsiTheme="minorHAnsi" w:cstheme="minorBidi"/>
          <w:b/>
          <w:color w:val="auto"/>
          <w:lang w:eastAsia="en-US"/>
        </w:rPr>
      </w:pPr>
      <w:r w:rsidRPr="009B40D2">
        <w:rPr>
          <w:rFonts w:asciiTheme="minorHAnsi" w:eastAsiaTheme="minorHAnsi" w:hAnsiTheme="minorHAnsi" w:cstheme="minorBidi"/>
          <w:b/>
          <w:color w:val="auto"/>
          <w:lang w:eastAsia="en-US"/>
        </w:rPr>
        <w:lastRenderedPageBreak/>
        <w:t>Appendix</w:t>
      </w:r>
    </w:p>
    <w:p w14:paraId="4EDB91A2" w14:textId="00144BAE" w:rsidR="006F353F" w:rsidRPr="009B40D2" w:rsidRDefault="00F751DD" w:rsidP="006F353F">
      <w:pPr>
        <w:spacing w:after="160" w:line="259" w:lineRule="auto"/>
        <w:ind w:left="0" w:firstLine="0"/>
        <w:rPr>
          <w:rFonts w:asciiTheme="minorHAnsi" w:eastAsiaTheme="minorHAnsi" w:hAnsiTheme="minorHAnsi" w:cstheme="minorBidi"/>
          <w:b/>
          <w:color w:val="auto"/>
          <w:lang w:eastAsia="en-US"/>
        </w:rPr>
      </w:pPr>
      <w:r>
        <w:rPr>
          <w:rFonts w:asciiTheme="minorHAnsi" w:eastAsiaTheme="minorHAnsi" w:hAnsiTheme="minorHAnsi" w:cstheme="minorBidi"/>
          <w:b/>
          <w:color w:val="auto"/>
          <w:lang w:eastAsia="en-US"/>
        </w:rPr>
        <w:t>A</w:t>
      </w:r>
      <w:r w:rsidR="006F353F" w:rsidRPr="009B40D2">
        <w:rPr>
          <w:rFonts w:asciiTheme="minorHAnsi" w:eastAsiaTheme="minorHAnsi" w:hAnsiTheme="minorHAnsi" w:cstheme="minorBidi"/>
          <w:b/>
          <w:color w:val="auto"/>
          <w:lang w:eastAsia="en-US"/>
        </w:rPr>
        <w:t>ssessment moderation record</w:t>
      </w:r>
    </w:p>
    <w:tbl>
      <w:tblPr>
        <w:tblStyle w:val="TableGrid1"/>
        <w:tblW w:w="9640" w:type="dxa"/>
        <w:tblInd w:w="-289" w:type="dxa"/>
        <w:tblLook w:val="04A0" w:firstRow="1" w:lastRow="0" w:firstColumn="1" w:lastColumn="0" w:noHBand="0" w:noVBand="1"/>
      </w:tblPr>
      <w:tblGrid>
        <w:gridCol w:w="2127"/>
        <w:gridCol w:w="7513"/>
      </w:tblGrid>
      <w:tr w:rsidR="006F353F" w:rsidRPr="009B40D2" w14:paraId="0C6C4D9E" w14:textId="77777777" w:rsidTr="00CE1FAD">
        <w:tc>
          <w:tcPr>
            <w:tcW w:w="2127" w:type="dxa"/>
          </w:tcPr>
          <w:p w14:paraId="586ED1F6" w14:textId="77777777" w:rsidR="006F353F" w:rsidRPr="009B40D2" w:rsidRDefault="006F353F" w:rsidP="006F353F">
            <w:pPr>
              <w:spacing w:after="0" w:line="240" w:lineRule="auto"/>
              <w:ind w:left="0" w:firstLine="0"/>
              <w:rPr>
                <w:rFonts w:asciiTheme="minorHAnsi" w:eastAsia="Calibri" w:hAnsiTheme="minorHAnsi"/>
                <w:b/>
                <w:color w:val="auto"/>
                <w:sz w:val="22"/>
                <w:szCs w:val="24"/>
              </w:rPr>
            </w:pPr>
            <w:r w:rsidRPr="009B40D2">
              <w:rPr>
                <w:rFonts w:asciiTheme="minorHAnsi" w:eastAsia="Calibri" w:hAnsiTheme="minorHAnsi"/>
                <w:b/>
                <w:color w:val="auto"/>
                <w:sz w:val="22"/>
                <w:szCs w:val="24"/>
              </w:rPr>
              <w:t>Programme</w:t>
            </w:r>
          </w:p>
        </w:tc>
        <w:tc>
          <w:tcPr>
            <w:tcW w:w="7513" w:type="dxa"/>
          </w:tcPr>
          <w:p w14:paraId="2E79A99A" w14:textId="77777777" w:rsidR="006F353F" w:rsidRPr="009B40D2" w:rsidRDefault="006F353F" w:rsidP="006F353F">
            <w:pPr>
              <w:spacing w:after="0" w:line="240" w:lineRule="auto"/>
              <w:ind w:left="0" w:firstLine="0"/>
              <w:rPr>
                <w:rFonts w:asciiTheme="minorHAnsi" w:eastAsia="Calibri" w:hAnsiTheme="minorHAnsi"/>
                <w:color w:val="auto"/>
                <w:sz w:val="22"/>
                <w:szCs w:val="24"/>
              </w:rPr>
            </w:pPr>
          </w:p>
        </w:tc>
      </w:tr>
      <w:tr w:rsidR="006F353F" w:rsidRPr="009B40D2" w14:paraId="79114388" w14:textId="77777777" w:rsidTr="00CE1FAD">
        <w:tc>
          <w:tcPr>
            <w:tcW w:w="2127" w:type="dxa"/>
          </w:tcPr>
          <w:p w14:paraId="31EA639E" w14:textId="77777777" w:rsidR="006F353F" w:rsidRPr="009B40D2" w:rsidRDefault="006F353F" w:rsidP="006F353F">
            <w:pPr>
              <w:spacing w:after="0" w:line="240" w:lineRule="auto"/>
              <w:ind w:left="0" w:firstLine="0"/>
              <w:rPr>
                <w:rFonts w:asciiTheme="minorHAnsi" w:eastAsia="Calibri" w:hAnsiTheme="minorHAnsi"/>
                <w:b/>
                <w:color w:val="auto"/>
                <w:sz w:val="22"/>
                <w:szCs w:val="24"/>
              </w:rPr>
            </w:pPr>
            <w:r w:rsidRPr="009B40D2">
              <w:rPr>
                <w:rFonts w:asciiTheme="minorHAnsi" w:eastAsia="Calibri" w:hAnsiTheme="minorHAnsi"/>
                <w:b/>
                <w:color w:val="auto"/>
                <w:sz w:val="22"/>
                <w:szCs w:val="24"/>
              </w:rPr>
              <w:t>Course</w:t>
            </w:r>
          </w:p>
        </w:tc>
        <w:tc>
          <w:tcPr>
            <w:tcW w:w="7513" w:type="dxa"/>
          </w:tcPr>
          <w:p w14:paraId="07FC673D" w14:textId="77777777" w:rsidR="006F353F" w:rsidRPr="009B40D2" w:rsidRDefault="006F353F" w:rsidP="006F353F">
            <w:pPr>
              <w:spacing w:after="0" w:line="240" w:lineRule="auto"/>
              <w:ind w:left="0" w:firstLine="0"/>
              <w:rPr>
                <w:rFonts w:asciiTheme="minorHAnsi" w:eastAsia="Calibri" w:hAnsiTheme="minorHAnsi"/>
                <w:color w:val="auto"/>
                <w:sz w:val="22"/>
                <w:szCs w:val="24"/>
              </w:rPr>
            </w:pPr>
          </w:p>
        </w:tc>
      </w:tr>
      <w:tr w:rsidR="006F353F" w:rsidRPr="009B40D2" w14:paraId="678562F5" w14:textId="77777777" w:rsidTr="00CE1FAD">
        <w:tc>
          <w:tcPr>
            <w:tcW w:w="2127" w:type="dxa"/>
          </w:tcPr>
          <w:p w14:paraId="2658B756" w14:textId="77777777" w:rsidR="006F353F" w:rsidRPr="009B40D2" w:rsidRDefault="006F353F" w:rsidP="006F353F">
            <w:pPr>
              <w:spacing w:after="0" w:line="240" w:lineRule="auto"/>
              <w:ind w:left="0" w:firstLine="0"/>
              <w:rPr>
                <w:rFonts w:asciiTheme="minorHAnsi" w:eastAsia="Calibri" w:hAnsiTheme="minorHAnsi"/>
                <w:b/>
                <w:color w:val="auto"/>
                <w:sz w:val="22"/>
                <w:szCs w:val="24"/>
              </w:rPr>
            </w:pPr>
            <w:r w:rsidRPr="009B40D2">
              <w:rPr>
                <w:rFonts w:asciiTheme="minorHAnsi" w:eastAsia="Calibri" w:hAnsiTheme="minorHAnsi"/>
                <w:b/>
                <w:color w:val="auto"/>
                <w:sz w:val="22"/>
                <w:szCs w:val="24"/>
              </w:rPr>
              <w:t>Academic Year</w:t>
            </w:r>
          </w:p>
        </w:tc>
        <w:tc>
          <w:tcPr>
            <w:tcW w:w="7513" w:type="dxa"/>
          </w:tcPr>
          <w:p w14:paraId="347E2CB1" w14:textId="77777777" w:rsidR="006F353F" w:rsidRPr="009B40D2" w:rsidRDefault="006F353F" w:rsidP="006F353F">
            <w:pPr>
              <w:spacing w:after="0" w:line="240" w:lineRule="auto"/>
              <w:ind w:left="0" w:firstLine="0"/>
              <w:rPr>
                <w:rFonts w:asciiTheme="minorHAnsi" w:eastAsia="Calibri" w:hAnsiTheme="minorHAnsi"/>
                <w:color w:val="auto"/>
                <w:sz w:val="22"/>
                <w:szCs w:val="24"/>
              </w:rPr>
            </w:pPr>
          </w:p>
        </w:tc>
      </w:tr>
      <w:tr w:rsidR="006F353F" w:rsidRPr="009B40D2" w14:paraId="5990AAC2" w14:textId="77777777" w:rsidTr="00CE1FAD">
        <w:tc>
          <w:tcPr>
            <w:tcW w:w="2127" w:type="dxa"/>
          </w:tcPr>
          <w:p w14:paraId="033236FC" w14:textId="77777777" w:rsidR="006F353F" w:rsidRPr="009B40D2" w:rsidRDefault="006F353F" w:rsidP="006F353F">
            <w:pPr>
              <w:spacing w:after="0" w:line="240" w:lineRule="auto"/>
              <w:ind w:left="0" w:firstLine="0"/>
              <w:rPr>
                <w:rFonts w:asciiTheme="minorHAnsi" w:eastAsia="Calibri" w:hAnsiTheme="minorHAnsi"/>
                <w:b/>
                <w:color w:val="auto"/>
                <w:sz w:val="22"/>
                <w:szCs w:val="24"/>
              </w:rPr>
            </w:pPr>
            <w:r w:rsidRPr="009B40D2">
              <w:rPr>
                <w:rFonts w:asciiTheme="minorHAnsi" w:eastAsia="Calibri" w:hAnsiTheme="minorHAnsi"/>
                <w:b/>
                <w:color w:val="auto"/>
                <w:sz w:val="22"/>
                <w:szCs w:val="24"/>
              </w:rPr>
              <w:t>Assessment</w:t>
            </w:r>
          </w:p>
        </w:tc>
        <w:tc>
          <w:tcPr>
            <w:tcW w:w="7513" w:type="dxa"/>
          </w:tcPr>
          <w:p w14:paraId="38741D31" w14:textId="77777777" w:rsidR="006F353F" w:rsidRPr="009B40D2" w:rsidRDefault="006F353F" w:rsidP="006F353F">
            <w:pPr>
              <w:spacing w:after="0" w:line="240" w:lineRule="auto"/>
              <w:ind w:left="0" w:firstLine="0"/>
              <w:rPr>
                <w:rFonts w:asciiTheme="minorHAnsi" w:eastAsia="Calibri" w:hAnsiTheme="minorHAnsi"/>
                <w:color w:val="auto"/>
                <w:sz w:val="22"/>
                <w:szCs w:val="24"/>
              </w:rPr>
            </w:pPr>
          </w:p>
        </w:tc>
      </w:tr>
      <w:tr w:rsidR="006F353F" w:rsidRPr="009B40D2" w14:paraId="303B9240" w14:textId="77777777" w:rsidTr="00CE1FAD">
        <w:tc>
          <w:tcPr>
            <w:tcW w:w="2127" w:type="dxa"/>
          </w:tcPr>
          <w:p w14:paraId="1DF3A9AC" w14:textId="77777777" w:rsidR="006F353F" w:rsidRPr="009B40D2" w:rsidRDefault="006F353F" w:rsidP="006F353F">
            <w:pPr>
              <w:spacing w:after="0" w:line="240" w:lineRule="auto"/>
              <w:ind w:left="0" w:firstLine="0"/>
              <w:rPr>
                <w:rFonts w:asciiTheme="minorHAnsi" w:eastAsia="Calibri" w:hAnsiTheme="minorHAnsi"/>
                <w:b/>
                <w:color w:val="auto"/>
                <w:sz w:val="22"/>
                <w:szCs w:val="24"/>
              </w:rPr>
            </w:pPr>
            <w:r w:rsidRPr="009B40D2">
              <w:rPr>
                <w:rFonts w:asciiTheme="minorHAnsi" w:eastAsia="Calibri" w:hAnsiTheme="minorHAnsi"/>
                <w:b/>
                <w:color w:val="auto"/>
                <w:sz w:val="22"/>
                <w:szCs w:val="24"/>
              </w:rPr>
              <w:t>Marker(s)</w:t>
            </w:r>
          </w:p>
        </w:tc>
        <w:tc>
          <w:tcPr>
            <w:tcW w:w="7513" w:type="dxa"/>
          </w:tcPr>
          <w:p w14:paraId="27C0F31E" w14:textId="77777777" w:rsidR="006F353F" w:rsidRPr="009B40D2" w:rsidRDefault="006F353F" w:rsidP="006F353F">
            <w:pPr>
              <w:spacing w:after="0" w:line="240" w:lineRule="auto"/>
              <w:ind w:left="0" w:firstLine="0"/>
              <w:rPr>
                <w:rFonts w:asciiTheme="minorHAnsi" w:eastAsia="Calibri" w:hAnsiTheme="minorHAnsi"/>
                <w:color w:val="auto"/>
                <w:sz w:val="22"/>
                <w:szCs w:val="24"/>
              </w:rPr>
            </w:pPr>
          </w:p>
        </w:tc>
      </w:tr>
      <w:tr w:rsidR="006F353F" w:rsidRPr="009B40D2" w14:paraId="0F419DDF" w14:textId="77777777" w:rsidTr="00CE1FAD">
        <w:tc>
          <w:tcPr>
            <w:tcW w:w="2127" w:type="dxa"/>
          </w:tcPr>
          <w:p w14:paraId="78667E9C" w14:textId="77777777" w:rsidR="006F353F" w:rsidRPr="009B40D2" w:rsidRDefault="006F353F" w:rsidP="006F353F">
            <w:pPr>
              <w:spacing w:after="0" w:line="240" w:lineRule="auto"/>
              <w:ind w:left="0" w:firstLine="0"/>
              <w:rPr>
                <w:rFonts w:asciiTheme="minorHAnsi" w:eastAsia="Calibri" w:hAnsiTheme="minorHAnsi"/>
                <w:b/>
                <w:color w:val="auto"/>
                <w:sz w:val="22"/>
                <w:szCs w:val="24"/>
              </w:rPr>
            </w:pPr>
            <w:r w:rsidRPr="009B40D2">
              <w:rPr>
                <w:rFonts w:asciiTheme="minorHAnsi" w:eastAsia="Calibri" w:hAnsiTheme="minorHAnsi"/>
                <w:b/>
                <w:color w:val="auto"/>
                <w:sz w:val="22"/>
                <w:szCs w:val="24"/>
              </w:rPr>
              <w:t>Moderator(s)</w:t>
            </w:r>
          </w:p>
        </w:tc>
        <w:tc>
          <w:tcPr>
            <w:tcW w:w="7513" w:type="dxa"/>
          </w:tcPr>
          <w:p w14:paraId="0F140CF4" w14:textId="77777777" w:rsidR="006F353F" w:rsidRPr="009B40D2" w:rsidRDefault="006F353F" w:rsidP="006F353F">
            <w:pPr>
              <w:spacing w:after="0" w:line="240" w:lineRule="auto"/>
              <w:ind w:left="0" w:firstLine="0"/>
              <w:rPr>
                <w:rFonts w:asciiTheme="minorHAnsi" w:eastAsia="Calibri" w:hAnsiTheme="minorHAnsi"/>
                <w:color w:val="auto"/>
                <w:sz w:val="22"/>
                <w:szCs w:val="24"/>
              </w:rPr>
            </w:pPr>
          </w:p>
        </w:tc>
      </w:tr>
      <w:tr w:rsidR="006F353F" w:rsidRPr="009B40D2" w14:paraId="6555661A" w14:textId="77777777" w:rsidTr="00CE1FAD">
        <w:tc>
          <w:tcPr>
            <w:tcW w:w="9640" w:type="dxa"/>
            <w:gridSpan w:val="2"/>
          </w:tcPr>
          <w:p w14:paraId="63523473" w14:textId="77777777" w:rsidR="006F353F" w:rsidRPr="009B40D2" w:rsidRDefault="006F353F" w:rsidP="006F353F">
            <w:pPr>
              <w:spacing w:after="0" w:line="240" w:lineRule="auto"/>
              <w:ind w:left="0" w:firstLine="0"/>
              <w:rPr>
                <w:rFonts w:asciiTheme="minorHAnsi" w:eastAsia="Calibri" w:hAnsiTheme="minorHAnsi"/>
                <w:b/>
                <w:color w:val="auto"/>
                <w:sz w:val="22"/>
              </w:rPr>
            </w:pPr>
            <w:r w:rsidRPr="009B40D2">
              <w:rPr>
                <w:rFonts w:asciiTheme="minorHAnsi" w:eastAsia="Calibri" w:hAnsiTheme="minorHAnsi"/>
                <w:b/>
                <w:color w:val="auto"/>
                <w:sz w:val="22"/>
              </w:rPr>
              <w:t>Moderation process</w:t>
            </w:r>
          </w:p>
          <w:p w14:paraId="63B301B5" w14:textId="77777777" w:rsidR="006F353F" w:rsidRPr="009B40D2" w:rsidRDefault="006F353F" w:rsidP="006F353F">
            <w:pPr>
              <w:spacing w:after="0" w:line="240" w:lineRule="auto"/>
              <w:ind w:left="0" w:firstLine="0"/>
              <w:rPr>
                <w:rFonts w:asciiTheme="minorHAnsi" w:eastAsia="Calibri" w:hAnsiTheme="minorHAnsi"/>
                <w:color w:val="auto"/>
                <w:sz w:val="22"/>
              </w:rPr>
            </w:pPr>
          </w:p>
        </w:tc>
      </w:tr>
      <w:tr w:rsidR="006F353F" w:rsidRPr="009B40D2" w14:paraId="267B868B" w14:textId="77777777" w:rsidTr="00CE1FAD">
        <w:tc>
          <w:tcPr>
            <w:tcW w:w="9640" w:type="dxa"/>
            <w:gridSpan w:val="2"/>
          </w:tcPr>
          <w:p w14:paraId="183ADC1F" w14:textId="77777777" w:rsidR="006F353F" w:rsidRPr="009B40D2" w:rsidRDefault="006F353F" w:rsidP="006F353F">
            <w:pPr>
              <w:spacing w:after="0" w:line="240" w:lineRule="auto"/>
              <w:ind w:left="0" w:firstLine="0"/>
              <w:rPr>
                <w:rFonts w:asciiTheme="minorHAnsi" w:eastAsia="Calibri" w:hAnsiTheme="minorHAnsi"/>
                <w:b/>
                <w:color w:val="auto"/>
                <w:sz w:val="22"/>
              </w:rPr>
            </w:pPr>
            <w:r w:rsidRPr="009B40D2">
              <w:rPr>
                <w:rFonts w:asciiTheme="minorHAnsi" w:eastAsia="Calibri" w:hAnsiTheme="minorHAnsi"/>
                <w:b/>
                <w:color w:val="auto"/>
                <w:sz w:val="22"/>
              </w:rPr>
              <w:t>Feedback for markers</w:t>
            </w:r>
          </w:p>
          <w:p w14:paraId="251B6196" w14:textId="77777777" w:rsidR="006F353F" w:rsidRPr="009B40D2" w:rsidRDefault="006F353F" w:rsidP="006F353F">
            <w:pPr>
              <w:spacing w:after="0" w:line="240" w:lineRule="auto"/>
              <w:ind w:left="0" w:firstLine="0"/>
              <w:rPr>
                <w:rFonts w:asciiTheme="minorHAnsi" w:eastAsia="Calibri" w:hAnsiTheme="minorHAnsi"/>
                <w:b/>
                <w:color w:val="auto"/>
                <w:sz w:val="22"/>
                <w:szCs w:val="24"/>
              </w:rPr>
            </w:pPr>
          </w:p>
        </w:tc>
      </w:tr>
    </w:tbl>
    <w:p w14:paraId="6BE54E2C" w14:textId="77777777" w:rsidR="006F353F" w:rsidRPr="009B40D2" w:rsidRDefault="006F353F" w:rsidP="006F353F">
      <w:pPr>
        <w:spacing w:after="160" w:line="259" w:lineRule="auto"/>
        <w:ind w:left="0" w:firstLine="0"/>
        <w:rPr>
          <w:rFonts w:asciiTheme="minorHAnsi" w:eastAsiaTheme="minorHAnsi" w:hAnsiTheme="minorHAnsi" w:cstheme="minorBidi"/>
          <w:color w:val="auto"/>
          <w:sz w:val="22"/>
          <w:lang w:eastAsia="en-US"/>
        </w:rPr>
      </w:pPr>
    </w:p>
    <w:p w14:paraId="77B0FF8B" w14:textId="59A10837" w:rsidR="006C3974" w:rsidRPr="009B40D2" w:rsidRDefault="006C3974" w:rsidP="006F353F">
      <w:pPr>
        <w:spacing w:after="9" w:line="259" w:lineRule="auto"/>
        <w:ind w:left="0" w:firstLine="0"/>
        <w:rPr>
          <w:rFonts w:asciiTheme="minorHAnsi" w:hAnsiTheme="minorHAnsi" w:cstheme="minorHAnsi"/>
        </w:rPr>
      </w:pPr>
    </w:p>
    <w:sectPr w:rsidR="006C3974" w:rsidRPr="009B40D2" w:rsidSect="006F353F">
      <w:pgSz w:w="11906" w:h="16838"/>
      <w:pgMar w:top="1562" w:right="712" w:bottom="1440" w:left="1493"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5C99"/>
    <w:multiLevelType w:val="hybridMultilevel"/>
    <w:tmpl w:val="6D6AF50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42C66D21"/>
    <w:multiLevelType w:val="hybridMultilevel"/>
    <w:tmpl w:val="9C585D7E"/>
    <w:lvl w:ilvl="0" w:tplc="0A584E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1A02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3039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A280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BC42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6AC0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AA9D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DE1F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3220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783D09"/>
    <w:multiLevelType w:val="multilevel"/>
    <w:tmpl w:val="63588620"/>
    <w:lvl w:ilvl="0">
      <w:start w:val="1"/>
      <w:numFmt w:val="decimal"/>
      <w:pStyle w:val="Heading1"/>
      <w:lvlText w:val="%1."/>
      <w:lvlJc w:val="left"/>
      <w:pPr>
        <w:ind w:left="0"/>
      </w:pPr>
      <w:rPr>
        <w:rFonts w:asciiTheme="minorHAnsi" w:eastAsia="Times New Roman" w:hAnsiTheme="minorHAnsi"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Times New Roman" w:hAnsi="Calibri"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74"/>
    <w:rsid w:val="001628D5"/>
    <w:rsid w:val="00215510"/>
    <w:rsid w:val="00216377"/>
    <w:rsid w:val="00243D26"/>
    <w:rsid w:val="002D6FC4"/>
    <w:rsid w:val="002E0F0F"/>
    <w:rsid w:val="002F2855"/>
    <w:rsid w:val="00407A8B"/>
    <w:rsid w:val="005C43A0"/>
    <w:rsid w:val="00695529"/>
    <w:rsid w:val="006C3974"/>
    <w:rsid w:val="006F353F"/>
    <w:rsid w:val="007804D9"/>
    <w:rsid w:val="007A5080"/>
    <w:rsid w:val="00802D93"/>
    <w:rsid w:val="008529FA"/>
    <w:rsid w:val="008670EC"/>
    <w:rsid w:val="00881B59"/>
    <w:rsid w:val="00942814"/>
    <w:rsid w:val="009B40D2"/>
    <w:rsid w:val="009E68B6"/>
    <w:rsid w:val="009F61A7"/>
    <w:rsid w:val="00AB651B"/>
    <w:rsid w:val="00B20B89"/>
    <w:rsid w:val="00B36B40"/>
    <w:rsid w:val="00C43E35"/>
    <w:rsid w:val="00CD77CC"/>
    <w:rsid w:val="00D968AD"/>
    <w:rsid w:val="00E93070"/>
    <w:rsid w:val="00EF07D5"/>
    <w:rsid w:val="00F751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BCE9"/>
  <w15:docId w15:val="{423F448C-469C-4189-A4C0-EE558A35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2"/>
      </w:numPr>
      <w:spacing w:after="0"/>
      <w:ind w:left="1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2"/>
      </w:numPr>
      <w:spacing w:after="0"/>
      <w:ind w:left="14"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43D26"/>
    <w:rPr>
      <w:sz w:val="16"/>
      <w:szCs w:val="16"/>
    </w:rPr>
  </w:style>
  <w:style w:type="paragraph" w:styleId="CommentText">
    <w:name w:val="annotation text"/>
    <w:basedOn w:val="Normal"/>
    <w:link w:val="CommentTextChar"/>
    <w:uiPriority w:val="99"/>
    <w:semiHidden/>
    <w:unhideWhenUsed/>
    <w:rsid w:val="00243D26"/>
    <w:pPr>
      <w:spacing w:line="240" w:lineRule="auto"/>
    </w:pPr>
    <w:rPr>
      <w:sz w:val="20"/>
      <w:szCs w:val="20"/>
    </w:rPr>
  </w:style>
  <w:style w:type="character" w:customStyle="1" w:styleId="CommentTextChar">
    <w:name w:val="Comment Text Char"/>
    <w:basedOn w:val="DefaultParagraphFont"/>
    <w:link w:val="CommentText"/>
    <w:uiPriority w:val="99"/>
    <w:semiHidden/>
    <w:rsid w:val="00243D2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43D26"/>
    <w:rPr>
      <w:b/>
      <w:bCs/>
    </w:rPr>
  </w:style>
  <w:style w:type="character" w:customStyle="1" w:styleId="CommentSubjectChar">
    <w:name w:val="Comment Subject Char"/>
    <w:basedOn w:val="CommentTextChar"/>
    <w:link w:val="CommentSubject"/>
    <w:uiPriority w:val="99"/>
    <w:semiHidden/>
    <w:rsid w:val="00243D26"/>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243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D26"/>
    <w:rPr>
      <w:rFonts w:ascii="Segoe UI" w:eastAsia="Times New Roman" w:hAnsi="Segoe UI" w:cs="Segoe UI"/>
      <w:color w:val="000000"/>
      <w:sz w:val="18"/>
      <w:szCs w:val="18"/>
    </w:rPr>
  </w:style>
  <w:style w:type="paragraph" w:styleId="ListParagraph">
    <w:name w:val="List Paragraph"/>
    <w:basedOn w:val="Normal"/>
    <w:uiPriority w:val="34"/>
    <w:qFormat/>
    <w:rsid w:val="00215510"/>
    <w:pPr>
      <w:ind w:left="720"/>
      <w:contextualSpacing/>
    </w:pPr>
  </w:style>
  <w:style w:type="table" w:customStyle="1" w:styleId="TableGrid1">
    <w:name w:val="Table Grid1"/>
    <w:basedOn w:val="TableNormal"/>
    <w:next w:val="TableGrid0"/>
    <w:uiPriority w:val="39"/>
    <w:rsid w:val="006F353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6F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9E68B6"/>
    <w:pPr>
      <w:spacing w:before="100" w:beforeAutospacing="1" w:after="100" w:afterAutospacing="1" w:line="240" w:lineRule="auto"/>
      <w:ind w:left="0" w:firstLine="0"/>
    </w:pPr>
    <w:rPr>
      <w:color w:val="auto"/>
      <w:szCs w:val="24"/>
      <w:lang w:eastAsia="en-GB"/>
    </w:rPr>
  </w:style>
  <w:style w:type="paragraph" w:styleId="BodyText">
    <w:name w:val="Body Text"/>
    <w:basedOn w:val="Normal"/>
    <w:link w:val="BodyTextChar"/>
    <w:rsid w:val="009E68B6"/>
    <w:pPr>
      <w:tabs>
        <w:tab w:val="left" w:pos="720"/>
      </w:tabs>
      <w:spacing w:after="0" w:line="240" w:lineRule="auto"/>
      <w:ind w:left="0" w:right="32" w:firstLine="0"/>
    </w:pPr>
    <w:rPr>
      <w:color w:val="auto"/>
      <w:szCs w:val="20"/>
      <w:lang w:eastAsia="en-US"/>
    </w:rPr>
  </w:style>
  <w:style w:type="character" w:customStyle="1" w:styleId="BodyTextChar">
    <w:name w:val="Body Text Char"/>
    <w:basedOn w:val="DefaultParagraphFont"/>
    <w:link w:val="BodyText"/>
    <w:rsid w:val="009E68B6"/>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3610">
      <w:bodyDiv w:val="1"/>
      <w:marLeft w:val="0"/>
      <w:marRight w:val="0"/>
      <w:marTop w:val="0"/>
      <w:marBottom w:val="0"/>
      <w:divBdr>
        <w:top w:val="none" w:sz="0" w:space="0" w:color="auto"/>
        <w:left w:val="none" w:sz="0" w:space="0" w:color="auto"/>
        <w:bottom w:val="none" w:sz="0" w:space="0" w:color="auto"/>
        <w:right w:val="none" w:sz="0" w:space="0" w:color="auto"/>
      </w:divBdr>
    </w:div>
    <w:div w:id="792135661">
      <w:bodyDiv w:val="1"/>
      <w:marLeft w:val="0"/>
      <w:marRight w:val="0"/>
      <w:marTop w:val="0"/>
      <w:marBottom w:val="0"/>
      <w:divBdr>
        <w:top w:val="none" w:sz="0" w:space="0" w:color="auto"/>
        <w:left w:val="none" w:sz="0" w:space="0" w:color="auto"/>
        <w:bottom w:val="none" w:sz="0" w:space="0" w:color="auto"/>
        <w:right w:val="none" w:sz="0" w:space="0" w:color="auto"/>
      </w:divBdr>
    </w:div>
    <w:div w:id="893664909">
      <w:bodyDiv w:val="1"/>
      <w:marLeft w:val="0"/>
      <w:marRight w:val="0"/>
      <w:marTop w:val="0"/>
      <w:marBottom w:val="0"/>
      <w:divBdr>
        <w:top w:val="none" w:sz="0" w:space="0" w:color="auto"/>
        <w:left w:val="none" w:sz="0" w:space="0" w:color="auto"/>
        <w:bottom w:val="none" w:sz="0" w:space="0" w:color="auto"/>
        <w:right w:val="none" w:sz="0" w:space="0" w:color="auto"/>
      </w:divBdr>
    </w:div>
    <w:div w:id="1492328424">
      <w:bodyDiv w:val="1"/>
      <w:marLeft w:val="0"/>
      <w:marRight w:val="0"/>
      <w:marTop w:val="0"/>
      <w:marBottom w:val="0"/>
      <w:divBdr>
        <w:top w:val="none" w:sz="0" w:space="0" w:color="auto"/>
        <w:left w:val="none" w:sz="0" w:space="0" w:color="auto"/>
        <w:bottom w:val="none" w:sz="0" w:space="0" w:color="auto"/>
        <w:right w:val="none" w:sz="0" w:space="0" w:color="auto"/>
      </w:divBdr>
    </w:div>
    <w:div w:id="1810512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ac.uk/files/atoms/files/taughtassessmentregulations.pdf" TargetMode="External"/><Relationship Id="rId13" Type="http://schemas.openxmlformats.org/officeDocument/2006/relationships/hyperlink" Target="https://www.ed.ac.uk/institute-academic-development/learning-teaching/staff/assessment/moderation-guidance" TargetMode="External"/><Relationship Id="rId18" Type="http://schemas.openxmlformats.org/officeDocument/2006/relationships/hyperlink" Target="https://www.ed.ac.uk/institute-academic-development/learning-teaching/staff/assessment/moderation-guid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d.ac.uk/institute-academic-development/learning-teaching/staff/assessment/moderation-guidance" TargetMode="External"/><Relationship Id="rId17" Type="http://schemas.openxmlformats.org/officeDocument/2006/relationships/hyperlink" Target="https://www.ed.ac.uk/institute-academic-development/learning-teaching/staff/assessment/moderation-guidance" TargetMode="External"/><Relationship Id="rId2" Type="http://schemas.openxmlformats.org/officeDocument/2006/relationships/customXml" Target="../customXml/item2.xml"/><Relationship Id="rId16" Type="http://schemas.openxmlformats.org/officeDocument/2006/relationships/hyperlink" Target="https://www.ed.ac.uk/institute-academic-development/learning-teaching/staff/assessment/moderation-guidance" TargetMode="External"/><Relationship Id="rId20" Type="http://schemas.openxmlformats.org/officeDocument/2006/relationships/hyperlink" Target="https://www.ed.ac.uk/institute-academic-development/learning-teaching/staff/assessment/moderation-guid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ac.uk/institute-academic-development/learning-teaching/staff/assessment/moderation-guidance" TargetMode="External"/><Relationship Id="rId5" Type="http://schemas.openxmlformats.org/officeDocument/2006/relationships/styles" Target="styles.xml"/><Relationship Id="rId15" Type="http://schemas.openxmlformats.org/officeDocument/2006/relationships/hyperlink" Target="https://www.ed.ac.uk/institute-academic-development/learning-teaching/staff/assessment/moderation-guidance" TargetMode="External"/><Relationship Id="rId10" Type="http://schemas.openxmlformats.org/officeDocument/2006/relationships/hyperlink" Target="https://www.ed.ac.uk/files/atoms/files/taughtassessmentregulations.pdf" TargetMode="External"/><Relationship Id="rId19" Type="http://schemas.openxmlformats.org/officeDocument/2006/relationships/hyperlink" Target="https://www.ed.ac.uk/institute-academic-development/learning-teaching/staff/assessment/moderation-guidance" TargetMode="External"/><Relationship Id="rId4" Type="http://schemas.openxmlformats.org/officeDocument/2006/relationships/numbering" Target="numbering.xml"/><Relationship Id="rId9" Type="http://schemas.openxmlformats.org/officeDocument/2006/relationships/hyperlink" Target="https://www.ed.ac.uk/files/atoms/files/taughtassessmentregulations.pdf" TargetMode="External"/><Relationship Id="rId14" Type="http://schemas.openxmlformats.org/officeDocument/2006/relationships/hyperlink" Target="https://www.ed.ac.uk/institute-academic-development/learning-teaching/staff/assessment/moderation-guid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BBAAD068AA7B4CAB0663FBC1564A4A" ma:contentTypeVersion="14" ma:contentTypeDescription="Create a new document." ma:contentTypeScope="" ma:versionID="f71ab52aaf6ebba29600cdd6ecb0fd27">
  <xsd:schema xmlns:xsd="http://www.w3.org/2001/XMLSchema" xmlns:xs="http://www.w3.org/2001/XMLSchema" xmlns:p="http://schemas.microsoft.com/office/2006/metadata/properties" xmlns:ns3="1a1ede05-6228-4c00-9b9a-c4a30f84e2be" xmlns:ns4="25864717-f64c-4634-9742-71879ee6efab" targetNamespace="http://schemas.microsoft.com/office/2006/metadata/properties" ma:root="true" ma:fieldsID="f50d3362a9bd3b32d2884e585afe8c74" ns3:_="" ns4:_="">
    <xsd:import namespace="1a1ede05-6228-4c00-9b9a-c4a30f84e2be"/>
    <xsd:import namespace="25864717-f64c-4634-9742-71879ee6ef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ede05-6228-4c00-9b9a-c4a30f84e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864717-f64c-4634-9742-71879ee6ef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D1E3B-5DF8-44C2-8AC2-8F930439B85A}">
  <ds:schemaRefs>
    <ds:schemaRef ds:uri="http://schemas.microsoft.com/sharepoint/v3/contenttype/forms"/>
  </ds:schemaRefs>
</ds:datastoreItem>
</file>

<file path=customXml/itemProps2.xml><?xml version="1.0" encoding="utf-8"?>
<ds:datastoreItem xmlns:ds="http://schemas.openxmlformats.org/officeDocument/2006/customXml" ds:itemID="{413E3F12-39F3-4D2F-9EAE-A154B3C43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ede05-6228-4c00-9b9a-c4a30f84e2be"/>
    <ds:schemaRef ds:uri="25864717-f64c-4634-9742-71879ee6e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605C8-A780-4F58-8C6A-88998E04EEE2}">
  <ds:schemaRefs>
    <ds:schemaRef ds:uri="http://purl.org/dc/elements/1.1/"/>
    <ds:schemaRef ds:uri="http://purl.org/dc/terms/"/>
    <ds:schemaRef ds:uri="25864717-f64c-4634-9742-71879ee6efab"/>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1a1ede05-6228-4c00-9b9a-c4a30f84e2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1572</Words>
  <Characters>8961</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Frances</dc:creator>
  <cp:keywords/>
  <cp:lastModifiedBy>HARVEY Tina</cp:lastModifiedBy>
  <cp:revision>2</cp:revision>
  <dcterms:created xsi:type="dcterms:W3CDTF">2021-10-22T12:09:00Z</dcterms:created>
  <dcterms:modified xsi:type="dcterms:W3CDTF">2021-10-22T12:09:00Z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0x01010000BBAAD068AA7B4CAB0663FBC1564A4A</vt:lpwstr>
  </property>
</Properties>
</file>