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B5A51C" w14:textId="14921DDB" w:rsidR="00D359F8" w:rsidRPr="00D359F8" w:rsidRDefault="00D359F8" w:rsidP="00D359F8">
      <w:pPr>
        <w:jc w:val="center"/>
        <w:rPr>
          <w:b/>
        </w:rPr>
      </w:pPr>
      <w:bookmarkStart w:id="0" w:name="_GoBack"/>
      <w:bookmarkEnd w:id="0"/>
      <w:r w:rsidRPr="00D359F8">
        <w:rPr>
          <w:b/>
        </w:rPr>
        <w:t>Workshop</w:t>
      </w:r>
      <w:r w:rsidR="00F84D90">
        <w:rPr>
          <w:b/>
        </w:rPr>
        <w:t>:</w:t>
      </w:r>
      <w:r w:rsidRPr="00D359F8">
        <w:rPr>
          <w:b/>
        </w:rPr>
        <w:t xml:space="preserve">  Practice General Linear Models</w:t>
      </w:r>
    </w:p>
    <w:p w14:paraId="4B8BF571" w14:textId="77777777" w:rsidR="00D359F8" w:rsidRDefault="00D359F8"/>
    <w:p w14:paraId="2A03A046" w14:textId="2B75EF91" w:rsidR="00957E87" w:rsidRDefault="00102261">
      <w:r>
        <w:t xml:space="preserve">In this workshop, you have the opportunity to analyze </w:t>
      </w:r>
      <w:r w:rsidR="00E31632">
        <w:t xml:space="preserve">up to </w:t>
      </w:r>
      <w:r w:rsidR="00F84D90">
        <w:t xml:space="preserve">4 </w:t>
      </w:r>
      <w:r>
        <w:t xml:space="preserve">datasets, which cover themes from </w:t>
      </w:r>
      <w:r w:rsidR="00195559">
        <w:t>previous discussion of general linear models</w:t>
      </w:r>
      <w:r>
        <w:t xml:space="preserve">.  </w:t>
      </w:r>
      <w:r w:rsidR="00195559">
        <w:t xml:space="preserve">If you complete this work as part of a class, we </w:t>
      </w:r>
      <w:r>
        <w:t xml:space="preserve">encourage you to work in small groups.  </w:t>
      </w:r>
    </w:p>
    <w:p w14:paraId="380635BB" w14:textId="77777777" w:rsidR="00102261" w:rsidRDefault="00102261"/>
    <w:p w14:paraId="0BBE5892" w14:textId="645BDDB1" w:rsidR="00BB23E9" w:rsidRDefault="00BB23E9">
      <w:r>
        <w:t>For each question, you should follow the general workflow for analyzing General Linear Models:</w:t>
      </w:r>
    </w:p>
    <w:p w14:paraId="6B1D769A" w14:textId="77777777" w:rsidR="00BB23E9" w:rsidRDefault="00BB23E9"/>
    <w:p w14:paraId="53148E4D" w14:textId="2D835C88" w:rsidR="00BB23E9" w:rsidRDefault="00BB23E9" w:rsidP="00BB23E9">
      <w:pPr>
        <w:pStyle w:val="ListParagraph"/>
        <w:numPr>
          <w:ilvl w:val="0"/>
          <w:numId w:val="1"/>
        </w:numPr>
      </w:pPr>
      <w:r>
        <w:t xml:space="preserve">Familiarize yourself with the </w:t>
      </w:r>
      <w:proofErr w:type="spellStart"/>
      <w:r>
        <w:t>dataframe</w:t>
      </w:r>
      <w:proofErr w:type="spellEnd"/>
      <w:r>
        <w:t xml:space="preserve"> you’ve created.  Note the column names and the names of variables within columns.</w:t>
      </w:r>
      <w:r w:rsidR="000240AD">
        <w:t xml:space="preserve"> Think of what types of variables you have.</w:t>
      </w:r>
    </w:p>
    <w:p w14:paraId="56A3F2C4" w14:textId="37B95CB3" w:rsidR="00BB23E9" w:rsidRDefault="00BB23E9" w:rsidP="00BB23E9">
      <w:pPr>
        <w:pStyle w:val="ListParagraph"/>
        <w:numPr>
          <w:ilvl w:val="0"/>
          <w:numId w:val="1"/>
        </w:numPr>
      </w:pPr>
      <w:r>
        <w:t>Plot the data as you’ve been shown in lectures.  Ask yourself:  Do any treatment appear different from others?  Do you think the data will meet the assumption of a normal distribution?</w:t>
      </w:r>
    </w:p>
    <w:p w14:paraId="6AA53E64" w14:textId="77777777" w:rsidR="00BB23E9" w:rsidRDefault="00BB23E9" w:rsidP="00BB23E9">
      <w:pPr>
        <w:pStyle w:val="ListParagraph"/>
        <w:numPr>
          <w:ilvl w:val="0"/>
          <w:numId w:val="1"/>
        </w:numPr>
      </w:pPr>
      <w:r>
        <w:t>Think:  How should these data be analyzed to accomplish the scientific question posed to you?</w:t>
      </w:r>
    </w:p>
    <w:p w14:paraId="60575F76" w14:textId="15BDBA8D" w:rsidR="00BB23E9" w:rsidRDefault="00BB23E9" w:rsidP="00BB23E9">
      <w:pPr>
        <w:pStyle w:val="ListParagraph"/>
        <w:numPr>
          <w:ilvl w:val="0"/>
          <w:numId w:val="1"/>
        </w:numPr>
      </w:pPr>
      <w:r>
        <w:t xml:space="preserve">Construct a statistical model, and use it to address your scientific question.  </w:t>
      </w:r>
    </w:p>
    <w:p w14:paraId="12F6299B" w14:textId="77777777" w:rsidR="00BB23E9" w:rsidRDefault="00BB23E9" w:rsidP="00BB23E9">
      <w:pPr>
        <w:pStyle w:val="ListParagraph"/>
        <w:numPr>
          <w:ilvl w:val="1"/>
          <w:numId w:val="1"/>
        </w:numPr>
      </w:pPr>
      <w:r>
        <w:t>Check your assumptions before looking at the final results</w:t>
      </w:r>
    </w:p>
    <w:p w14:paraId="08A6DCD4" w14:textId="603A6FD0" w:rsidR="00BB23E9" w:rsidRDefault="00BB23E9" w:rsidP="00BB23E9">
      <w:pPr>
        <w:pStyle w:val="ListParagraph"/>
        <w:numPr>
          <w:ilvl w:val="1"/>
          <w:numId w:val="1"/>
        </w:numPr>
      </w:pPr>
      <w:r>
        <w:t>If your model does not meet the assumptions of your test, either: (i) transform the data until assumptions are met, or (ii) choose a new, and more appropriate statistical test.</w:t>
      </w:r>
    </w:p>
    <w:p w14:paraId="0472695E" w14:textId="24C84BC0" w:rsidR="00BB23E9" w:rsidRDefault="00AF6A6F" w:rsidP="00BB23E9">
      <w:pPr>
        <w:pStyle w:val="ListParagraph"/>
        <w:numPr>
          <w:ilvl w:val="1"/>
          <w:numId w:val="1"/>
        </w:numPr>
      </w:pPr>
      <w:r>
        <w:t>Interpret the outcome of your model</w:t>
      </w:r>
      <w:r w:rsidR="00454548">
        <w:t>, including</w:t>
      </w:r>
      <w:r>
        <w:t xml:space="preserve"> any </w:t>
      </w:r>
      <w:r w:rsidR="007D73AF">
        <w:t xml:space="preserve">necessary </w:t>
      </w:r>
      <w:r w:rsidR="00BB23E9">
        <w:t>post-hoc tests (or produce an interaction plot)</w:t>
      </w:r>
      <w:proofErr w:type="gramStart"/>
      <w:r w:rsidR="00BB23E9">
        <w:t>,to</w:t>
      </w:r>
      <w:proofErr w:type="gramEnd"/>
      <w:r w:rsidR="00A15474">
        <w:t xml:space="preserve"> identify and</w:t>
      </w:r>
      <w:r w:rsidR="00BB23E9">
        <w:t xml:space="preserve"> understand any differences that lie in your data.</w:t>
      </w:r>
    </w:p>
    <w:p w14:paraId="3440DF0A" w14:textId="321B7FE1" w:rsidR="00BB23E9" w:rsidRDefault="00BB23E9" w:rsidP="00BB23E9">
      <w:pPr>
        <w:pStyle w:val="ListParagraph"/>
        <w:numPr>
          <w:ilvl w:val="0"/>
          <w:numId w:val="1"/>
        </w:numPr>
      </w:pPr>
      <w:r>
        <w:t>What do you conclude?</w:t>
      </w:r>
      <w:r w:rsidR="00AF6A6F">
        <w:t xml:space="preserve">  Base your conclusion</w:t>
      </w:r>
      <w:r w:rsidR="0098171F">
        <w:t>s</w:t>
      </w:r>
      <w:r w:rsidR="00AF6A6F">
        <w:t xml:space="preserve"> on both p-values and effect sizes</w:t>
      </w:r>
      <w:r w:rsidR="00195559">
        <w:t>.</w:t>
      </w:r>
    </w:p>
    <w:p w14:paraId="3354B0EF" w14:textId="77777777" w:rsidR="00BB23E9" w:rsidRDefault="00BB23E9"/>
    <w:p w14:paraId="20588B2B" w14:textId="77777777" w:rsidR="00BB23E9" w:rsidRDefault="00BB23E9"/>
    <w:p w14:paraId="7FDFB7F3" w14:textId="77777777" w:rsidR="00BB23E9" w:rsidRDefault="00BB23E9"/>
    <w:p w14:paraId="44A0E27C" w14:textId="77777777" w:rsidR="00BB23E9" w:rsidRDefault="00BB23E9"/>
    <w:p w14:paraId="0C7E53BC" w14:textId="77777777" w:rsidR="004B0C15" w:rsidRDefault="004B0C15">
      <w:r>
        <w:br w:type="page"/>
      </w:r>
    </w:p>
    <w:p w14:paraId="50CD0798" w14:textId="60572F47" w:rsidR="00627BBA" w:rsidRDefault="00F84D90" w:rsidP="00476A1E">
      <w:pPr>
        <w:widowControl w:val="0"/>
        <w:autoSpaceDE w:val="0"/>
        <w:autoSpaceDN w:val="0"/>
        <w:adjustRightInd w:val="0"/>
        <w:rPr>
          <w:rFonts w:cs="Arial"/>
          <w:color w:val="1A1A1A"/>
        </w:rPr>
      </w:pPr>
      <w:r>
        <w:lastRenderedPageBreak/>
        <w:t>1</w:t>
      </w:r>
      <w:r w:rsidR="005874DB" w:rsidRPr="005874DB">
        <w:t xml:space="preserve">.  </w:t>
      </w:r>
      <w:proofErr w:type="spellStart"/>
      <w:r w:rsidR="005874DB" w:rsidRPr="005874DB">
        <w:t>Chauvet</w:t>
      </w:r>
      <w:proofErr w:type="spellEnd"/>
      <w:r w:rsidR="005874DB" w:rsidRPr="005874DB">
        <w:t xml:space="preserve"> et al (2016</w:t>
      </w:r>
      <w:r w:rsidR="00742967">
        <w:t>; J Neuroendocrinology</w:t>
      </w:r>
      <w:r w:rsidR="005874DB" w:rsidRPr="005874DB">
        <w:t xml:space="preserve">) studied </w:t>
      </w:r>
      <w:r w:rsidR="005874DB" w:rsidRPr="005874DB">
        <w:rPr>
          <w:rFonts w:cs="Arial"/>
          <w:color w:val="1A1A1A"/>
        </w:rPr>
        <w:t>the level of expression of 2 genes (CDH1 and CDH2) that code for cell-adhesion molecules in samples take</w:t>
      </w:r>
      <w:r w:rsidR="005874DB">
        <w:rPr>
          <w:rFonts w:cs="Arial"/>
          <w:color w:val="1A1A1A"/>
        </w:rPr>
        <w:t xml:space="preserve">n from pituitary human </w:t>
      </w:r>
      <w:proofErr w:type="spellStart"/>
      <w:r w:rsidR="005874DB">
        <w:rPr>
          <w:rFonts w:cs="Arial"/>
          <w:color w:val="1A1A1A"/>
        </w:rPr>
        <w:t>tumours</w:t>
      </w:r>
      <w:proofErr w:type="spellEnd"/>
      <w:r w:rsidR="005874DB">
        <w:rPr>
          <w:rFonts w:cs="Arial"/>
          <w:color w:val="1A1A1A"/>
        </w:rPr>
        <w:t xml:space="preserve">.  </w:t>
      </w:r>
      <w:r w:rsidR="005874DB" w:rsidRPr="005874DB">
        <w:rPr>
          <w:rFonts w:cs="Arial"/>
          <w:color w:val="1A1A1A"/>
        </w:rPr>
        <w:t xml:space="preserve">The </w:t>
      </w:r>
      <w:proofErr w:type="spellStart"/>
      <w:r w:rsidR="005874DB" w:rsidRPr="005874DB">
        <w:rPr>
          <w:rFonts w:cs="Arial"/>
          <w:color w:val="1A1A1A"/>
        </w:rPr>
        <w:t>tumours</w:t>
      </w:r>
      <w:proofErr w:type="spellEnd"/>
      <w:r w:rsidR="005874DB" w:rsidRPr="005874DB">
        <w:rPr>
          <w:rFonts w:cs="Arial"/>
          <w:color w:val="1A1A1A"/>
        </w:rPr>
        <w:t xml:space="preserve"> can be classified as invasive </w:t>
      </w:r>
      <w:r w:rsidR="005874DB">
        <w:rPr>
          <w:rFonts w:cs="Arial"/>
          <w:color w:val="1A1A1A"/>
        </w:rPr>
        <w:t>(“I”) vs.</w:t>
      </w:r>
      <w:r w:rsidR="005874DB" w:rsidRPr="005874DB">
        <w:rPr>
          <w:rFonts w:cs="Arial"/>
          <w:color w:val="1A1A1A"/>
        </w:rPr>
        <w:t xml:space="preserve"> non invasive </w:t>
      </w:r>
      <w:r w:rsidR="005874DB">
        <w:rPr>
          <w:rFonts w:cs="Arial"/>
          <w:color w:val="1A1A1A"/>
        </w:rPr>
        <w:t>(“NI”).  They were sampled</w:t>
      </w:r>
      <w:r w:rsidR="00A15474">
        <w:rPr>
          <w:rFonts w:cs="Arial"/>
          <w:color w:val="1A1A1A"/>
        </w:rPr>
        <w:t xml:space="preserve"> from two different types of </w:t>
      </w:r>
      <w:proofErr w:type="spellStart"/>
      <w:r w:rsidR="00A15474">
        <w:rPr>
          <w:rFonts w:cs="Arial"/>
          <w:color w:val="1A1A1A"/>
        </w:rPr>
        <w:t>tumours</w:t>
      </w:r>
      <w:proofErr w:type="spellEnd"/>
      <w:r w:rsidR="00A15474">
        <w:rPr>
          <w:rFonts w:cs="Arial"/>
          <w:color w:val="1A1A1A"/>
        </w:rPr>
        <w:t>:</w:t>
      </w:r>
      <w:r w:rsidR="005874DB">
        <w:rPr>
          <w:rFonts w:cs="Arial"/>
          <w:color w:val="1A1A1A"/>
        </w:rPr>
        <w:t xml:space="preserve"> either from </w:t>
      </w:r>
      <w:r w:rsidR="005874DB" w:rsidRPr="005874DB">
        <w:rPr>
          <w:rFonts w:cs="Arial"/>
          <w:color w:val="1A1A1A"/>
        </w:rPr>
        <w:t xml:space="preserve">growth hormone adenomas </w:t>
      </w:r>
      <w:r w:rsidR="005874DB">
        <w:rPr>
          <w:rFonts w:cs="Arial"/>
          <w:color w:val="1A1A1A"/>
        </w:rPr>
        <w:t xml:space="preserve">(“GH”) </w:t>
      </w:r>
      <w:r w:rsidR="005874DB" w:rsidRPr="005874DB">
        <w:rPr>
          <w:rFonts w:cs="Arial"/>
          <w:color w:val="1A1A1A"/>
        </w:rPr>
        <w:t xml:space="preserve">or </w:t>
      </w:r>
      <w:proofErr w:type="spellStart"/>
      <w:r w:rsidR="005874DB" w:rsidRPr="005874DB">
        <w:rPr>
          <w:rFonts w:cs="Arial"/>
          <w:color w:val="1A1A1A"/>
        </w:rPr>
        <w:t>prolactinomas</w:t>
      </w:r>
      <w:proofErr w:type="spellEnd"/>
      <w:r w:rsidR="005874DB" w:rsidRPr="005874DB">
        <w:rPr>
          <w:rFonts w:cs="Arial"/>
          <w:color w:val="1A1A1A"/>
        </w:rPr>
        <w:t xml:space="preserve"> (</w:t>
      </w:r>
      <w:r w:rsidR="005874DB">
        <w:rPr>
          <w:rFonts w:cs="Arial"/>
          <w:color w:val="1A1A1A"/>
        </w:rPr>
        <w:t xml:space="preserve">“PRL”, </w:t>
      </w:r>
      <w:proofErr w:type="spellStart"/>
      <w:r w:rsidR="005874DB" w:rsidRPr="005874DB">
        <w:rPr>
          <w:rFonts w:cs="Arial"/>
          <w:color w:val="1A1A1A"/>
        </w:rPr>
        <w:t>tumours</w:t>
      </w:r>
      <w:proofErr w:type="spellEnd"/>
      <w:r w:rsidR="005874DB" w:rsidRPr="005874DB">
        <w:rPr>
          <w:rFonts w:cs="Arial"/>
          <w:color w:val="1A1A1A"/>
        </w:rPr>
        <w:t xml:space="preserve"> that overproduce growth hormone or prolactin).</w:t>
      </w:r>
      <w:r w:rsidR="005874DB">
        <w:rPr>
          <w:rFonts w:cs="Arial"/>
          <w:color w:val="1A1A1A"/>
        </w:rPr>
        <w:t xml:space="preserve">  Hence, gene expression was examined for two types of “treatments”:  Invasiveness (I vs NI) and tumor phenotype (</w:t>
      </w:r>
      <w:r w:rsidR="00476A1E">
        <w:rPr>
          <w:rFonts w:cs="Arial"/>
          <w:color w:val="1A1A1A"/>
        </w:rPr>
        <w:t>GH vs PRL</w:t>
      </w:r>
      <w:r w:rsidR="005874DB">
        <w:rPr>
          <w:rFonts w:cs="Arial"/>
          <w:color w:val="1A1A1A"/>
        </w:rPr>
        <w:t>)</w:t>
      </w:r>
      <w:r w:rsidR="00476A1E">
        <w:rPr>
          <w:rFonts w:cs="Arial"/>
          <w:color w:val="1A1A1A"/>
        </w:rPr>
        <w:t xml:space="preserve">.  </w:t>
      </w:r>
      <w:r w:rsidR="005874DB" w:rsidRPr="005874DB">
        <w:rPr>
          <w:rFonts w:cs="Arial"/>
          <w:color w:val="1A1A1A"/>
        </w:rPr>
        <w:t xml:space="preserve">All the </w:t>
      </w:r>
      <w:proofErr w:type="spellStart"/>
      <w:r w:rsidR="005874DB" w:rsidRPr="005874DB">
        <w:rPr>
          <w:rFonts w:cs="Arial"/>
          <w:color w:val="1A1A1A"/>
        </w:rPr>
        <w:t>tumou</w:t>
      </w:r>
      <w:r w:rsidR="00476A1E">
        <w:rPr>
          <w:rFonts w:cs="Arial"/>
          <w:color w:val="1A1A1A"/>
        </w:rPr>
        <w:t>rs</w:t>
      </w:r>
      <w:proofErr w:type="spellEnd"/>
      <w:r w:rsidR="00476A1E">
        <w:rPr>
          <w:rFonts w:cs="Arial"/>
          <w:color w:val="1A1A1A"/>
        </w:rPr>
        <w:t xml:space="preserve"> come from different patients, and the dataset contains at least 8 data points for each combination of Invasiveness and Phenotype categories.  Note that these data are </w:t>
      </w:r>
      <w:r w:rsidR="00476A1E" w:rsidRPr="00476A1E">
        <w:rPr>
          <w:rFonts w:cs="Arial"/>
          <w:b/>
          <w:color w:val="1A1A1A"/>
        </w:rPr>
        <w:t>unbalanced</w:t>
      </w:r>
      <w:r w:rsidR="00476A1E">
        <w:rPr>
          <w:rFonts w:cs="Arial"/>
          <w:color w:val="1A1A1A"/>
        </w:rPr>
        <w:t>.</w:t>
      </w:r>
    </w:p>
    <w:p w14:paraId="3595798B" w14:textId="77777777" w:rsidR="00476A1E" w:rsidRPr="00476A1E" w:rsidRDefault="00476A1E" w:rsidP="00476A1E">
      <w:pPr>
        <w:widowControl w:val="0"/>
        <w:autoSpaceDE w:val="0"/>
        <w:autoSpaceDN w:val="0"/>
        <w:adjustRightInd w:val="0"/>
        <w:rPr>
          <w:rFonts w:cs="Arial"/>
          <w:color w:val="1A1A1A"/>
        </w:rPr>
      </w:pPr>
    </w:p>
    <w:p w14:paraId="08866745" w14:textId="57FE5EE6" w:rsidR="00596F27" w:rsidRDefault="00596F27" w:rsidP="00596F27">
      <w:r>
        <w:t>The data are in the file, “</w:t>
      </w:r>
      <w:r w:rsidRPr="00596F27">
        <w:rPr>
          <w:rFonts w:ascii="Menlo Regular" w:hAnsi="Menlo Regular" w:cs="Menlo Regular"/>
          <w:color w:val="FF0000"/>
          <w:sz w:val="20"/>
          <w:szCs w:val="20"/>
        </w:rPr>
        <w:t>pitTumours.csv</w:t>
      </w:r>
      <w:r>
        <w:t>”.</w:t>
      </w:r>
    </w:p>
    <w:p w14:paraId="27347073" w14:textId="77777777" w:rsidR="00596F27" w:rsidRDefault="00596F27" w:rsidP="00596F27"/>
    <w:p w14:paraId="2485BA90" w14:textId="06C862AB" w:rsidR="00E769B9" w:rsidRDefault="007713A3" w:rsidP="00596F27">
      <w:proofErr w:type="spellStart"/>
      <w:r>
        <w:t>Analyse</w:t>
      </w:r>
      <w:proofErr w:type="spellEnd"/>
      <w:r>
        <w:t xml:space="preserve"> th</w:t>
      </w:r>
      <w:r w:rsidR="0018096C">
        <w:t>ese</w:t>
      </w:r>
      <w:r w:rsidR="00E769B9">
        <w:t xml:space="preserve"> data</w:t>
      </w:r>
      <w:r w:rsidR="0018096C">
        <w:t xml:space="preserve"> </w:t>
      </w:r>
      <w:r w:rsidR="00E769B9">
        <w:t>to test whether gene expression of CDH1 (</w:t>
      </w:r>
      <w:r w:rsidR="00E769B9" w:rsidRPr="00E769B9">
        <w:rPr>
          <w:b/>
          <w:i/>
        </w:rPr>
        <w:t xml:space="preserve">not </w:t>
      </w:r>
      <w:r w:rsidR="00E769B9">
        <w:t>CDH2, which is also in the dataset) depends on Invasiveness and Phenotype.  The expression of CDH1 is in the column, “CDH1”.</w:t>
      </w:r>
    </w:p>
    <w:p w14:paraId="3952F4FD" w14:textId="77777777" w:rsidR="00E769B9" w:rsidRDefault="00E769B9" w:rsidP="00596F27"/>
    <w:p w14:paraId="21CAAFF7" w14:textId="519B6213" w:rsidR="00596F27" w:rsidRPr="00882725" w:rsidRDefault="00AF6A6F" w:rsidP="00596F27">
      <w:pPr>
        <w:pStyle w:val="ListParagraph"/>
        <w:numPr>
          <w:ilvl w:val="0"/>
          <w:numId w:val="3"/>
        </w:numPr>
        <w:rPr>
          <w:rFonts w:ascii="Menlo Regular" w:hAnsi="Menlo Regular" w:cs="Menlo Regular"/>
          <w:color w:val="000000"/>
          <w:sz w:val="22"/>
          <w:szCs w:val="22"/>
        </w:rPr>
      </w:pPr>
      <w:r>
        <w:t xml:space="preserve">Upload the data into R.  </w:t>
      </w:r>
    </w:p>
    <w:p w14:paraId="1B53D188" w14:textId="62271824" w:rsidR="00596F27" w:rsidRPr="0018096C" w:rsidRDefault="00596F27" w:rsidP="00596F27">
      <w:pPr>
        <w:pStyle w:val="ListParagraph"/>
        <w:numPr>
          <w:ilvl w:val="0"/>
          <w:numId w:val="3"/>
        </w:numPr>
      </w:pPr>
      <w:r>
        <w:t>Follow the general workflow, outlined, above.</w:t>
      </w:r>
      <w:r w:rsidR="00224074">
        <w:t xml:space="preserve">  </w:t>
      </w:r>
      <w:r w:rsidR="00224074" w:rsidRPr="007D0761">
        <w:rPr>
          <w:i/>
        </w:rPr>
        <w:t>Hint:  consider a square-root transformation.</w:t>
      </w:r>
    </w:p>
    <w:p w14:paraId="52B44D4B" w14:textId="064AA62B" w:rsidR="00D6573C" w:rsidRDefault="00D6573C" w:rsidP="00596F27">
      <w:pPr>
        <w:pStyle w:val="ListParagraph"/>
        <w:numPr>
          <w:ilvl w:val="0"/>
          <w:numId w:val="3"/>
        </w:numPr>
      </w:pPr>
      <w:r>
        <w:t>What do you conclude?</w:t>
      </w:r>
    </w:p>
    <w:p w14:paraId="6A06146E" w14:textId="77777777" w:rsidR="00D6573C" w:rsidRDefault="00D6573C" w:rsidP="00D6573C"/>
    <w:p w14:paraId="61B5FA20" w14:textId="77777777" w:rsidR="00AF6A6F" w:rsidRDefault="00AF6A6F" w:rsidP="00D6573C"/>
    <w:p w14:paraId="1D497DFC" w14:textId="77777777" w:rsidR="00AF6A6F" w:rsidRDefault="00AF6A6F" w:rsidP="00D6573C"/>
    <w:p w14:paraId="2772F6A7" w14:textId="77777777" w:rsidR="00AF6A6F" w:rsidRDefault="00AF6A6F" w:rsidP="00D6573C"/>
    <w:p w14:paraId="006D30CD" w14:textId="77777777" w:rsidR="00AF6A6F" w:rsidRDefault="00AF6A6F" w:rsidP="00D6573C"/>
    <w:p w14:paraId="77F5CA90" w14:textId="77777777" w:rsidR="00AF6A6F" w:rsidRDefault="00AF6A6F" w:rsidP="00D6573C"/>
    <w:p w14:paraId="2B68E8F5" w14:textId="77777777" w:rsidR="00AF6A6F" w:rsidRDefault="00AF6A6F" w:rsidP="00D6573C"/>
    <w:p w14:paraId="0D613147" w14:textId="0BBDA564" w:rsidR="00D6573C" w:rsidRDefault="00F84D90" w:rsidP="00D6573C">
      <w:r>
        <w:t>2</w:t>
      </w:r>
      <w:r w:rsidR="00D6573C">
        <w:t xml:space="preserve">.  </w:t>
      </w:r>
      <w:r w:rsidR="004B0C15">
        <w:t>Cook et al. (1993) studied the reduction of Hippocampal volume (as a %) in 107</w:t>
      </w:r>
      <w:r w:rsidR="008F39E6">
        <w:t xml:space="preserve"> </w:t>
      </w:r>
      <w:r w:rsidR="004B0C15">
        <w:t xml:space="preserve">patients with </w:t>
      </w:r>
      <w:r w:rsidR="00F940F1">
        <w:t xml:space="preserve">various forms of </w:t>
      </w:r>
      <w:r w:rsidR="004B0C15">
        <w:t>drug-resistant epilepsy.  The patients fell into one of 3 groups:  a) a record of childhood febrile seizures (“CFS”); b) childhood non-febrile seizures (“no CFS”); and no childhood seizures (“no seizures”).</w:t>
      </w:r>
    </w:p>
    <w:p w14:paraId="7F4E2435" w14:textId="77777777" w:rsidR="004B0C15" w:rsidRDefault="004B0C15" w:rsidP="00D6573C"/>
    <w:p w14:paraId="2727C086" w14:textId="1E8AB8BB" w:rsidR="004B0C15" w:rsidRDefault="004B0C15" w:rsidP="004B0C15">
      <w:r>
        <w:t>The data are in the file, “</w:t>
      </w:r>
      <w:r>
        <w:rPr>
          <w:rFonts w:ascii="Menlo Regular" w:hAnsi="Menlo Regular" w:cs="Menlo Regular"/>
          <w:color w:val="FF0000"/>
          <w:sz w:val="20"/>
          <w:szCs w:val="20"/>
        </w:rPr>
        <w:t>seizuresCFS</w:t>
      </w:r>
      <w:r w:rsidRPr="00596F27">
        <w:rPr>
          <w:rFonts w:ascii="Menlo Regular" w:hAnsi="Menlo Regular" w:cs="Menlo Regular"/>
          <w:color w:val="FF0000"/>
          <w:sz w:val="20"/>
          <w:szCs w:val="20"/>
        </w:rPr>
        <w:t>.csv</w:t>
      </w:r>
      <w:r>
        <w:t>”.</w:t>
      </w:r>
    </w:p>
    <w:p w14:paraId="4ADD9B73" w14:textId="77777777" w:rsidR="004B0C15" w:rsidRDefault="004B0C15" w:rsidP="004B0C15"/>
    <w:p w14:paraId="32A1697D" w14:textId="7558AAA9" w:rsidR="004B0C15" w:rsidRDefault="004B0C15" w:rsidP="004B0C15">
      <w:r>
        <w:t>Analyze these data to determine whether the loss in Hippocampal volume differs among the groups.</w:t>
      </w:r>
    </w:p>
    <w:p w14:paraId="0876C71D" w14:textId="77777777" w:rsidR="004B0C15" w:rsidRDefault="004B0C15" w:rsidP="004B0C15"/>
    <w:p w14:paraId="465F2955" w14:textId="711FDB0F" w:rsidR="004B0C15" w:rsidRPr="00AF6A6F" w:rsidRDefault="00AF6A6F" w:rsidP="00AF6A6F">
      <w:pPr>
        <w:pStyle w:val="ListParagraph"/>
        <w:numPr>
          <w:ilvl w:val="0"/>
          <w:numId w:val="4"/>
        </w:numPr>
        <w:rPr>
          <w:rFonts w:ascii="Menlo Regular" w:hAnsi="Menlo Regular" w:cs="Menlo Regular"/>
          <w:color w:val="000000"/>
          <w:sz w:val="16"/>
          <w:szCs w:val="16"/>
        </w:rPr>
      </w:pPr>
      <w:r>
        <w:t>Upload the data into R.</w:t>
      </w:r>
      <w:r w:rsidR="004B0C15">
        <w:t xml:space="preserve"> </w:t>
      </w:r>
    </w:p>
    <w:p w14:paraId="4BC17952" w14:textId="030F884B" w:rsidR="004B0C15" w:rsidRDefault="004B0C15" w:rsidP="004B0C15">
      <w:pPr>
        <w:pStyle w:val="ListParagraph"/>
        <w:numPr>
          <w:ilvl w:val="0"/>
          <w:numId w:val="4"/>
        </w:numPr>
      </w:pPr>
      <w:r>
        <w:t xml:space="preserve">Follow the general workflow, outlined, above. </w:t>
      </w:r>
      <w:r w:rsidR="008F39E6">
        <w:t xml:space="preserve">  Data expressed as a % are often better analyzed with an arcsine square-root transformation, as given here:  </w:t>
      </w:r>
      <w:proofErr w:type="spellStart"/>
      <w:r w:rsidR="008F39E6" w:rsidRPr="007D0761">
        <w:rPr>
          <w:rFonts w:ascii="Menlo Regular" w:hAnsi="Menlo Regular" w:cs="Menlo Regular"/>
          <w:color w:val="FF0000"/>
          <w:sz w:val="22"/>
          <w:szCs w:val="22"/>
        </w:rPr>
        <w:t>asin</w:t>
      </w:r>
      <w:proofErr w:type="spellEnd"/>
      <w:r w:rsidR="008F39E6" w:rsidRPr="007D0761">
        <w:rPr>
          <w:rFonts w:ascii="Menlo Regular" w:hAnsi="Menlo Regular" w:cs="Menlo Regular"/>
          <w:color w:val="FF0000"/>
          <w:sz w:val="22"/>
          <w:szCs w:val="22"/>
        </w:rPr>
        <w:t>(</w:t>
      </w:r>
      <w:proofErr w:type="spellStart"/>
      <w:r w:rsidR="008F39E6" w:rsidRPr="007D0761">
        <w:rPr>
          <w:rFonts w:ascii="Menlo Regular" w:hAnsi="Menlo Regular" w:cs="Menlo Regular"/>
          <w:color w:val="FF0000"/>
          <w:sz w:val="22"/>
          <w:szCs w:val="22"/>
        </w:rPr>
        <w:t>sqrt</w:t>
      </w:r>
      <w:proofErr w:type="spellEnd"/>
      <w:r w:rsidR="008F39E6" w:rsidRPr="007D0761">
        <w:rPr>
          <w:rFonts w:ascii="Menlo Regular" w:hAnsi="Menlo Regular" w:cs="Menlo Regular"/>
          <w:color w:val="FF0000"/>
          <w:sz w:val="22"/>
          <w:szCs w:val="22"/>
        </w:rPr>
        <w:t>((</w:t>
      </w:r>
      <w:proofErr w:type="spellStart"/>
      <w:r w:rsidR="008F39E6" w:rsidRPr="007D0761">
        <w:rPr>
          <w:rFonts w:ascii="Menlo Regular" w:hAnsi="Menlo Regular" w:cs="Menlo Regular"/>
          <w:color w:val="FF0000"/>
          <w:sz w:val="22"/>
          <w:szCs w:val="22"/>
        </w:rPr>
        <w:t>seiz$hippoVolumeRatio</w:t>
      </w:r>
      <w:proofErr w:type="spellEnd"/>
      <w:r w:rsidR="008F39E6" w:rsidRPr="007D0761">
        <w:rPr>
          <w:rFonts w:ascii="Menlo Regular" w:hAnsi="Menlo Regular" w:cs="Menlo Regular"/>
          <w:color w:val="FF0000"/>
          <w:sz w:val="22"/>
          <w:szCs w:val="22"/>
        </w:rPr>
        <w:t>)/100))</w:t>
      </w:r>
    </w:p>
    <w:p w14:paraId="585817A7" w14:textId="77777777" w:rsidR="004B0C15" w:rsidRDefault="004B0C15" w:rsidP="004B0C15">
      <w:pPr>
        <w:pStyle w:val="ListParagraph"/>
        <w:numPr>
          <w:ilvl w:val="0"/>
          <w:numId w:val="4"/>
        </w:numPr>
      </w:pPr>
      <w:r>
        <w:t>What do you conclude?</w:t>
      </w:r>
    </w:p>
    <w:p w14:paraId="6BBC21DE" w14:textId="77777777" w:rsidR="00EE1FB0" w:rsidRDefault="00EE1FB0"/>
    <w:p w14:paraId="2B6C40E1" w14:textId="77777777" w:rsidR="00EE1FB0" w:rsidRDefault="00EE1FB0"/>
    <w:p w14:paraId="2B8DB0BD" w14:textId="77777777" w:rsidR="00C907E1" w:rsidRDefault="00C907E1"/>
    <w:p w14:paraId="5B31E47F" w14:textId="08F866EF" w:rsidR="004B0C15" w:rsidRDefault="00F84D90">
      <w:r>
        <w:lastRenderedPageBreak/>
        <w:t>3</w:t>
      </w:r>
      <w:r w:rsidR="004B0C15">
        <w:t xml:space="preserve">.  </w:t>
      </w:r>
      <w:r w:rsidR="00FE47B1">
        <w:t xml:space="preserve">Mutations that occur during sperm production can be passed on to a father’s offspring.  </w:t>
      </w:r>
      <w:r w:rsidR="002B5370">
        <w:t>O</w:t>
      </w:r>
      <w:r w:rsidR="00FE47B1">
        <w:t xml:space="preserve">lder </w:t>
      </w:r>
      <w:r w:rsidR="00336C54">
        <w:t xml:space="preserve">human </w:t>
      </w:r>
      <w:r w:rsidR="00FE47B1">
        <w:t xml:space="preserve">fathers have had more time to accumulate mutations in tissues that produce sperm cells.  As a result, we might predict that, on average, older fathers pass on more mutations to their offspring than younger fathers do.  Kong et al. (2012) used complete genome sequencing of 21 </w:t>
      </w:r>
      <w:r>
        <w:t xml:space="preserve">human </w:t>
      </w:r>
      <w:r w:rsidR="00FE47B1">
        <w:t>father-offspring pairs to count the number of mutations given by fathers to their children.  Kong et al. (2012) also recorded each father’s age.</w:t>
      </w:r>
    </w:p>
    <w:p w14:paraId="1A06B490" w14:textId="77777777" w:rsidR="00FE47B1" w:rsidRDefault="00FE47B1"/>
    <w:p w14:paraId="3C83C838" w14:textId="16373F81" w:rsidR="00FE47B1" w:rsidRDefault="00FE47B1">
      <w:r>
        <w:t>These data are recorded in the file, “</w:t>
      </w:r>
      <w:r>
        <w:rPr>
          <w:rFonts w:ascii="Menlo Regular" w:hAnsi="Menlo Regular" w:cs="Menlo Regular"/>
          <w:color w:val="FF0000"/>
          <w:sz w:val="20"/>
          <w:szCs w:val="20"/>
        </w:rPr>
        <w:t>mutations</w:t>
      </w:r>
      <w:r w:rsidRPr="00596F27">
        <w:rPr>
          <w:rFonts w:ascii="Menlo Regular" w:hAnsi="Menlo Regular" w:cs="Menlo Regular"/>
          <w:color w:val="FF0000"/>
          <w:sz w:val="20"/>
          <w:szCs w:val="20"/>
        </w:rPr>
        <w:t>.csv</w:t>
      </w:r>
      <w:r>
        <w:t>”.</w:t>
      </w:r>
    </w:p>
    <w:p w14:paraId="54B27FEC" w14:textId="77777777" w:rsidR="00843B51" w:rsidRDefault="00843B51"/>
    <w:p w14:paraId="5EE258EC" w14:textId="2932C66B" w:rsidR="00843B51" w:rsidRDefault="007713A3">
      <w:proofErr w:type="spellStart"/>
      <w:r>
        <w:t>Analyse</w:t>
      </w:r>
      <w:proofErr w:type="spellEnd"/>
      <w:r>
        <w:t xml:space="preserve"> the</w:t>
      </w:r>
      <w:r w:rsidR="007D73AF">
        <w:t>se</w:t>
      </w:r>
      <w:r>
        <w:t xml:space="preserve"> data</w:t>
      </w:r>
      <w:r w:rsidR="007D73AF">
        <w:t xml:space="preserve"> </w:t>
      </w:r>
      <w:r w:rsidR="00843B51">
        <w:t>to test whether the number of mutations passed on by a father depends on the father’s age.</w:t>
      </w:r>
    </w:p>
    <w:p w14:paraId="5F8EF12B" w14:textId="77777777" w:rsidR="00843B51" w:rsidRDefault="00843B51" w:rsidP="00843B51"/>
    <w:p w14:paraId="09C6F83C" w14:textId="6D431F47" w:rsidR="00843B51" w:rsidRPr="00882725" w:rsidRDefault="00AF6A6F" w:rsidP="00843B51">
      <w:pPr>
        <w:pStyle w:val="ListParagraph"/>
        <w:numPr>
          <w:ilvl w:val="0"/>
          <w:numId w:val="5"/>
        </w:numPr>
        <w:rPr>
          <w:rFonts w:ascii="Menlo Regular" w:hAnsi="Menlo Regular" w:cs="Menlo Regular"/>
          <w:color w:val="000000"/>
          <w:sz w:val="22"/>
          <w:szCs w:val="22"/>
        </w:rPr>
      </w:pPr>
      <w:r>
        <w:t>Upload the data into R.</w:t>
      </w:r>
      <w:r w:rsidR="00843B51">
        <w:t xml:space="preserve">  </w:t>
      </w:r>
    </w:p>
    <w:p w14:paraId="436D012A" w14:textId="77777777" w:rsidR="00843B51" w:rsidRDefault="00843B51" w:rsidP="00843B51">
      <w:pPr>
        <w:pStyle w:val="ListParagraph"/>
        <w:numPr>
          <w:ilvl w:val="0"/>
          <w:numId w:val="5"/>
        </w:numPr>
      </w:pPr>
      <w:r>
        <w:t xml:space="preserve">Follow the general workflow, outlined, above. </w:t>
      </w:r>
    </w:p>
    <w:p w14:paraId="47D27BE1" w14:textId="77777777" w:rsidR="00843B51" w:rsidRDefault="00843B51" w:rsidP="00843B51">
      <w:pPr>
        <w:pStyle w:val="ListParagraph"/>
        <w:numPr>
          <w:ilvl w:val="0"/>
          <w:numId w:val="5"/>
        </w:numPr>
      </w:pPr>
      <w:r>
        <w:t>What do you conclude?</w:t>
      </w:r>
    </w:p>
    <w:p w14:paraId="70E7357C" w14:textId="77777777" w:rsidR="00843B51" w:rsidRDefault="00843B51" w:rsidP="00843B51"/>
    <w:p w14:paraId="0E223707" w14:textId="77777777" w:rsidR="00C907E1" w:rsidRDefault="00C907E1"/>
    <w:p w14:paraId="51A5CC8D" w14:textId="77777777" w:rsidR="00C907E1" w:rsidRDefault="00C907E1"/>
    <w:p w14:paraId="1FC8CE11" w14:textId="668149C8" w:rsidR="00AF4F97" w:rsidRDefault="00F84D90">
      <w:r>
        <w:t>4</w:t>
      </w:r>
      <w:r w:rsidR="002222D5">
        <w:t xml:space="preserve">.  </w:t>
      </w:r>
      <w:r w:rsidR="00190CCE">
        <w:t xml:space="preserve">  </w:t>
      </w:r>
      <w:r w:rsidR="006F76B4">
        <w:t xml:space="preserve">Mole rats are the only known mammals with distinct social classes.  Like bees, a single queen and a small number of males are the only reproducing individuals in a colony.  Remaining individuals, “workers”, do the work (gather food, defense care for the young, </w:t>
      </w:r>
      <w:proofErr w:type="spellStart"/>
      <w:r w:rsidR="006F76B4">
        <w:t>etc</w:t>
      </w:r>
      <w:proofErr w:type="spellEnd"/>
      <w:r w:rsidR="006F76B4">
        <w:t xml:space="preserve">).  </w:t>
      </w:r>
      <w:r w:rsidR="00EE0657">
        <w:t xml:space="preserve">Recent data made researchers question whether there were actually two types of workers that appeared to differ in the amount of work they did: “worker” and “lazy”.  </w:t>
      </w:r>
      <w:proofErr w:type="spellStart"/>
      <w:r w:rsidR="00EE0657">
        <w:t>Scantlebury</w:t>
      </w:r>
      <w:proofErr w:type="spellEnd"/>
      <w:r w:rsidR="00EE0657">
        <w:t xml:space="preserve"> et al. (2006) wished to study the physiology of the two supposed worker types.  </w:t>
      </w:r>
      <w:r w:rsidR="00B67814">
        <w:t xml:space="preserve">They were interested in two questions. Firstly, </w:t>
      </w:r>
      <w:r w:rsidR="00EE0657">
        <w:t xml:space="preserve"> they wished to examine the relationship between an individual’s mass and their daily</w:t>
      </w:r>
      <w:r w:rsidR="00B67814">
        <w:t xml:space="preserve"> energy</w:t>
      </w:r>
      <w:r w:rsidR="00EE0657">
        <w:t xml:space="preserve"> expenditure.  </w:t>
      </w:r>
      <w:r w:rsidR="00B67814">
        <w:t xml:space="preserve">Secondly, </w:t>
      </w:r>
      <w:proofErr w:type="gramStart"/>
      <w:r w:rsidR="00B67814">
        <w:t>t</w:t>
      </w:r>
      <w:r w:rsidR="00EE0657">
        <w:t>hey  wished</w:t>
      </w:r>
      <w:proofErr w:type="gramEnd"/>
      <w:r w:rsidR="00EE0657">
        <w:t xml:space="preserve"> to know whether this relationship was the same for the two supposed worker classes.  </w:t>
      </w:r>
      <w:r w:rsidR="00961936">
        <w:t xml:space="preserve"> W</w:t>
      </w:r>
      <w:r w:rsidR="0053248E">
        <w:t xml:space="preserve">eight and energy </w:t>
      </w:r>
      <w:proofErr w:type="gramStart"/>
      <w:r w:rsidR="0053248E">
        <w:t>expenditure</w:t>
      </w:r>
      <w:r w:rsidR="00EE0657">
        <w:t xml:space="preserve"> </w:t>
      </w:r>
      <w:r w:rsidR="00961936">
        <w:t xml:space="preserve"> were</w:t>
      </w:r>
      <w:proofErr w:type="gramEnd"/>
      <w:r w:rsidR="00961936">
        <w:t xml:space="preserve"> evaluated for each mole rat</w:t>
      </w:r>
      <w:r w:rsidR="00336C54">
        <w:t>,</w:t>
      </w:r>
      <w:r w:rsidR="00961936">
        <w:t xml:space="preserve"> which was</w:t>
      </w:r>
      <w:r w:rsidR="0053248E">
        <w:t xml:space="preserve"> </w:t>
      </w:r>
      <w:r w:rsidR="00EE0657">
        <w:t xml:space="preserve">classified as </w:t>
      </w:r>
      <w:r w:rsidR="0053248E">
        <w:t xml:space="preserve">either </w:t>
      </w:r>
      <w:r w:rsidR="00EE0657">
        <w:t>“worker” and “lazy”.</w:t>
      </w:r>
      <w:r w:rsidR="00117FB5">
        <w:t xml:space="preserve">  Note that the data are </w:t>
      </w:r>
      <w:r w:rsidR="00117FB5" w:rsidRPr="00117FB5">
        <w:rPr>
          <w:b/>
        </w:rPr>
        <w:t>un-balanced</w:t>
      </w:r>
      <w:r w:rsidR="00117FB5">
        <w:t>.</w:t>
      </w:r>
    </w:p>
    <w:p w14:paraId="372A01F7" w14:textId="77777777" w:rsidR="00EE0657" w:rsidRDefault="00EE0657"/>
    <w:p w14:paraId="73DFCF0E" w14:textId="6BC4BAFE" w:rsidR="00EE0657" w:rsidRDefault="00EE0657">
      <w:r>
        <w:t>These data are available in the file, “</w:t>
      </w:r>
      <w:r w:rsidRPr="00EE0657">
        <w:rPr>
          <w:rFonts w:ascii="Menlo Regular" w:hAnsi="Menlo Regular" w:cs="Menlo Regular"/>
          <w:color w:val="FF0000"/>
          <w:sz w:val="20"/>
          <w:szCs w:val="20"/>
        </w:rPr>
        <w:t>moleRats.csv</w:t>
      </w:r>
      <w:r>
        <w:t>”.</w:t>
      </w:r>
    </w:p>
    <w:p w14:paraId="7546834D" w14:textId="77777777" w:rsidR="00EE0657" w:rsidRDefault="00EE0657"/>
    <w:p w14:paraId="2D2829DE" w14:textId="5C932E13" w:rsidR="00EE0657" w:rsidRDefault="007713A3">
      <w:proofErr w:type="spellStart"/>
      <w:r>
        <w:t>Analyse</w:t>
      </w:r>
      <w:proofErr w:type="spellEnd"/>
      <w:r>
        <w:t xml:space="preserve"> the</w:t>
      </w:r>
      <w:r w:rsidR="007D73AF">
        <w:t>se</w:t>
      </w:r>
      <w:r w:rsidR="00EE0657">
        <w:t xml:space="preserve"> data to test whether:  a) energy expenditure increases with body mass</w:t>
      </w:r>
      <w:proofErr w:type="gramStart"/>
      <w:r w:rsidR="00EE0657">
        <w:t>;</w:t>
      </w:r>
      <w:proofErr w:type="gramEnd"/>
      <w:r w:rsidR="00EE0657">
        <w:t xml:space="preserve"> b) whether this relationship differs between “worker” and “lazy” groups.</w:t>
      </w:r>
    </w:p>
    <w:p w14:paraId="68986137" w14:textId="77777777" w:rsidR="00E16F54" w:rsidRDefault="00E16F54" w:rsidP="00E16F54"/>
    <w:p w14:paraId="38D65AF7" w14:textId="4C85AF67" w:rsidR="00E16F54" w:rsidRPr="00882725" w:rsidRDefault="00AF6A6F" w:rsidP="00E16F54">
      <w:pPr>
        <w:pStyle w:val="ListParagraph"/>
        <w:numPr>
          <w:ilvl w:val="0"/>
          <w:numId w:val="6"/>
        </w:numPr>
        <w:rPr>
          <w:rFonts w:ascii="Menlo Regular" w:hAnsi="Menlo Regular" w:cs="Menlo Regular"/>
          <w:color w:val="000000"/>
          <w:sz w:val="22"/>
          <w:szCs w:val="22"/>
        </w:rPr>
      </w:pPr>
      <w:r>
        <w:t>Upload the data into R.</w:t>
      </w:r>
      <w:r w:rsidR="00E16F54">
        <w:t xml:space="preserve">  </w:t>
      </w:r>
    </w:p>
    <w:p w14:paraId="6B6A9316" w14:textId="77777777" w:rsidR="00E16F54" w:rsidRDefault="00E16F54" w:rsidP="00E16F54">
      <w:pPr>
        <w:pStyle w:val="ListParagraph"/>
        <w:numPr>
          <w:ilvl w:val="0"/>
          <w:numId w:val="6"/>
        </w:numPr>
      </w:pPr>
      <w:r>
        <w:t xml:space="preserve">Follow the general workflow, outlined, above. </w:t>
      </w:r>
    </w:p>
    <w:p w14:paraId="3FBDAE03" w14:textId="5F3440C6" w:rsidR="0073150D" w:rsidRDefault="0073150D" w:rsidP="0073150D">
      <w:pPr>
        <w:pStyle w:val="ListParagraph"/>
        <w:numPr>
          <w:ilvl w:val="1"/>
          <w:numId w:val="6"/>
        </w:numPr>
      </w:pPr>
      <w:r>
        <w:t>NOTE:  the data have already been log-transformed, for convenience</w:t>
      </w:r>
    </w:p>
    <w:p w14:paraId="2ABF2D49" w14:textId="77777777" w:rsidR="0073150D" w:rsidRDefault="0073150D" w:rsidP="0073150D">
      <w:pPr>
        <w:pStyle w:val="ListParagraph"/>
        <w:numPr>
          <w:ilvl w:val="1"/>
          <w:numId w:val="6"/>
        </w:numPr>
      </w:pPr>
      <w:r>
        <w:t xml:space="preserve">It is possible to produce a scatterplot with different </w:t>
      </w:r>
      <w:proofErr w:type="spellStart"/>
      <w:r>
        <w:t>colours</w:t>
      </w:r>
      <w:proofErr w:type="spellEnd"/>
      <w:r>
        <w:t xml:space="preserve"> that represent different treatments.  To do this, we add the option “col” to a </w:t>
      </w:r>
      <w:proofErr w:type="gramStart"/>
      <w:r>
        <w:t>plot(</w:t>
      </w:r>
      <w:proofErr w:type="gramEnd"/>
      <w:r>
        <w:t xml:space="preserve">) function, and write a little function that uses different </w:t>
      </w:r>
      <w:proofErr w:type="spellStart"/>
      <w:r>
        <w:t>colours</w:t>
      </w:r>
      <w:proofErr w:type="spellEnd"/>
      <w:r>
        <w:t xml:space="preserve"> for different groups.  For this question, try this:  </w:t>
      </w:r>
    </w:p>
    <w:p w14:paraId="3D48A90F" w14:textId="77777777" w:rsidR="0073150D" w:rsidRDefault="0073150D" w:rsidP="0073150D">
      <w:pPr>
        <w:pStyle w:val="ListParagraph"/>
        <w:ind w:left="1800"/>
      </w:pPr>
    </w:p>
    <w:p w14:paraId="218AA6F8" w14:textId="03390385" w:rsidR="0073150D" w:rsidRDefault="0073150D" w:rsidP="0073150D">
      <w:pPr>
        <w:pStyle w:val="ListParagraph"/>
        <w:ind w:left="1800"/>
        <w:rPr>
          <w:rFonts w:ascii="Menlo Regular" w:hAnsi="Menlo Regular" w:cs="Menlo Regular"/>
          <w:color w:val="000000"/>
          <w:sz w:val="22"/>
          <w:szCs w:val="22"/>
        </w:rPr>
      </w:pPr>
      <w:proofErr w:type="gramStart"/>
      <w:r>
        <w:rPr>
          <w:rFonts w:ascii="Menlo Regular" w:hAnsi="Menlo Regular" w:cs="Menlo Regular"/>
          <w:color w:val="000000"/>
          <w:sz w:val="22"/>
          <w:szCs w:val="22"/>
        </w:rPr>
        <w:lastRenderedPageBreak/>
        <w:t>plot(</w:t>
      </w:r>
      <w:proofErr w:type="spellStart"/>
      <w:proofErr w:type="gramEnd"/>
      <w:r>
        <w:rPr>
          <w:rFonts w:ascii="Menlo Regular" w:hAnsi="Menlo Regular" w:cs="Menlo Regular"/>
          <w:color w:val="000000"/>
          <w:sz w:val="22"/>
          <w:szCs w:val="22"/>
        </w:rPr>
        <w:t>lnMass~lnEnergy</w:t>
      </w:r>
      <w:proofErr w:type="spellEnd"/>
      <w:r>
        <w:rPr>
          <w:rFonts w:ascii="Menlo Regular" w:hAnsi="Menlo Regular" w:cs="Menlo Regular"/>
          <w:color w:val="000000"/>
          <w:sz w:val="22"/>
          <w:szCs w:val="22"/>
        </w:rPr>
        <w:t xml:space="preserve">, </w:t>
      </w:r>
      <w:proofErr w:type="spellStart"/>
      <w:r>
        <w:rPr>
          <w:rFonts w:ascii="Menlo Regular" w:hAnsi="Menlo Regular" w:cs="Menlo Regular"/>
          <w:color w:val="000000"/>
          <w:sz w:val="22"/>
          <w:szCs w:val="22"/>
        </w:rPr>
        <w:t>xlab</w:t>
      </w:r>
      <w:proofErr w:type="spellEnd"/>
      <w:r>
        <w:rPr>
          <w:rFonts w:ascii="Menlo Regular" w:hAnsi="Menlo Regular" w:cs="Menlo Regular"/>
          <w:color w:val="000000"/>
          <w:sz w:val="22"/>
          <w:szCs w:val="22"/>
        </w:rPr>
        <w:t>=</w:t>
      </w:r>
      <w:r>
        <w:rPr>
          <w:rFonts w:ascii="Menlo Regular" w:hAnsi="Menlo Regular" w:cs="Menlo Regular"/>
          <w:color w:val="C41A16"/>
          <w:sz w:val="22"/>
          <w:szCs w:val="22"/>
        </w:rPr>
        <w:t>"ln(Body mass)"</w:t>
      </w:r>
      <w:r>
        <w:rPr>
          <w:rFonts w:ascii="Menlo Regular" w:hAnsi="Menlo Regular" w:cs="Menlo Regular"/>
          <w:color w:val="000000"/>
          <w:sz w:val="22"/>
          <w:szCs w:val="22"/>
        </w:rPr>
        <w:t xml:space="preserve">, </w:t>
      </w:r>
      <w:proofErr w:type="spellStart"/>
      <w:r>
        <w:rPr>
          <w:rFonts w:ascii="Menlo Regular" w:hAnsi="Menlo Regular" w:cs="Menlo Regular"/>
          <w:color w:val="000000"/>
          <w:sz w:val="22"/>
          <w:szCs w:val="22"/>
        </w:rPr>
        <w:t>ylab</w:t>
      </w:r>
      <w:proofErr w:type="spellEnd"/>
      <w:r>
        <w:rPr>
          <w:rFonts w:ascii="Menlo Regular" w:hAnsi="Menlo Regular" w:cs="Menlo Regular"/>
          <w:color w:val="000000"/>
          <w:sz w:val="22"/>
          <w:szCs w:val="22"/>
        </w:rPr>
        <w:t>=</w:t>
      </w:r>
      <w:r>
        <w:rPr>
          <w:rFonts w:ascii="Menlo Regular" w:hAnsi="Menlo Regular" w:cs="Menlo Regular"/>
          <w:color w:val="C41A16"/>
          <w:sz w:val="22"/>
          <w:szCs w:val="22"/>
        </w:rPr>
        <w:t>"ln(Energy expenditure)"</w:t>
      </w:r>
      <w:r>
        <w:rPr>
          <w:rFonts w:ascii="Menlo Regular" w:hAnsi="Menlo Regular" w:cs="Menlo Regular"/>
          <w:color w:val="000000"/>
          <w:sz w:val="22"/>
          <w:szCs w:val="22"/>
        </w:rPr>
        <w:t xml:space="preserve">, </w:t>
      </w:r>
      <w:proofErr w:type="spellStart"/>
      <w:r>
        <w:rPr>
          <w:rFonts w:ascii="Menlo Regular" w:hAnsi="Menlo Regular" w:cs="Menlo Regular"/>
          <w:color w:val="000000"/>
          <w:sz w:val="22"/>
          <w:szCs w:val="22"/>
        </w:rPr>
        <w:t>pch</w:t>
      </w:r>
      <w:proofErr w:type="spellEnd"/>
      <w:r>
        <w:rPr>
          <w:rFonts w:ascii="Menlo Regular" w:hAnsi="Menlo Regular" w:cs="Menlo Regular"/>
          <w:color w:val="000000"/>
          <w:sz w:val="22"/>
          <w:szCs w:val="22"/>
        </w:rPr>
        <w:t>=</w:t>
      </w:r>
      <w:r>
        <w:rPr>
          <w:rFonts w:ascii="Menlo Regular" w:hAnsi="Menlo Regular" w:cs="Menlo Regular"/>
          <w:color w:val="1C00CF"/>
          <w:sz w:val="22"/>
          <w:szCs w:val="22"/>
        </w:rPr>
        <w:t>2</w:t>
      </w:r>
      <w:r>
        <w:rPr>
          <w:rFonts w:ascii="Menlo Regular" w:hAnsi="Menlo Regular" w:cs="Menlo Regular"/>
          <w:color w:val="000000"/>
          <w:sz w:val="22"/>
          <w:szCs w:val="22"/>
        </w:rPr>
        <w:t>, col=</w:t>
      </w:r>
      <w:proofErr w:type="spellStart"/>
      <w:r>
        <w:rPr>
          <w:rFonts w:ascii="Menlo Regular" w:hAnsi="Menlo Regular" w:cs="Menlo Regular"/>
          <w:color w:val="000000"/>
          <w:sz w:val="22"/>
          <w:szCs w:val="22"/>
        </w:rPr>
        <w:t>ifelse</w:t>
      </w:r>
      <w:proofErr w:type="spellEnd"/>
      <w:r>
        <w:rPr>
          <w:rFonts w:ascii="Menlo Regular" w:hAnsi="Menlo Regular" w:cs="Menlo Regular"/>
          <w:color w:val="000000"/>
          <w:sz w:val="22"/>
          <w:szCs w:val="22"/>
        </w:rPr>
        <w:t>(caste==</w:t>
      </w:r>
      <w:r>
        <w:rPr>
          <w:rFonts w:ascii="Menlo Regular" w:hAnsi="Menlo Regular" w:cs="Menlo Regular"/>
          <w:color w:val="C41A16"/>
          <w:sz w:val="22"/>
          <w:szCs w:val="22"/>
        </w:rPr>
        <w:t>"worker"</w:t>
      </w:r>
      <w:r>
        <w:rPr>
          <w:rFonts w:ascii="Menlo Regular" w:hAnsi="Menlo Regular" w:cs="Menlo Regular"/>
          <w:color w:val="000000"/>
          <w:sz w:val="22"/>
          <w:szCs w:val="22"/>
        </w:rPr>
        <w:t xml:space="preserve">, </w:t>
      </w:r>
      <w:r>
        <w:rPr>
          <w:rFonts w:ascii="Menlo Regular" w:hAnsi="Menlo Regular" w:cs="Menlo Regular"/>
          <w:color w:val="C41A16"/>
          <w:sz w:val="22"/>
          <w:szCs w:val="22"/>
        </w:rPr>
        <w:t>"red"</w:t>
      </w:r>
      <w:r>
        <w:rPr>
          <w:rFonts w:ascii="Menlo Regular" w:hAnsi="Menlo Regular" w:cs="Menlo Regular"/>
          <w:color w:val="000000"/>
          <w:sz w:val="22"/>
          <w:szCs w:val="22"/>
        </w:rPr>
        <w:t xml:space="preserve">, </w:t>
      </w:r>
      <w:r>
        <w:rPr>
          <w:rFonts w:ascii="Menlo Regular" w:hAnsi="Menlo Regular" w:cs="Menlo Regular"/>
          <w:color w:val="C41A16"/>
          <w:sz w:val="22"/>
          <w:szCs w:val="22"/>
        </w:rPr>
        <w:t>"blue"</w:t>
      </w:r>
      <w:r>
        <w:rPr>
          <w:rFonts w:ascii="Menlo Regular" w:hAnsi="Menlo Regular" w:cs="Menlo Regular"/>
          <w:color w:val="000000"/>
          <w:sz w:val="22"/>
          <w:szCs w:val="22"/>
        </w:rPr>
        <w:t>),data=</w:t>
      </w:r>
      <w:proofErr w:type="spellStart"/>
      <w:r>
        <w:rPr>
          <w:rFonts w:ascii="Menlo Regular" w:hAnsi="Menlo Regular" w:cs="Menlo Regular"/>
          <w:color w:val="000000"/>
          <w:sz w:val="22"/>
          <w:szCs w:val="22"/>
        </w:rPr>
        <w:t>mr</w:t>
      </w:r>
      <w:proofErr w:type="spellEnd"/>
      <w:r>
        <w:rPr>
          <w:rFonts w:ascii="Menlo Regular" w:hAnsi="Menlo Regular" w:cs="Menlo Regular"/>
          <w:color w:val="000000"/>
          <w:sz w:val="22"/>
          <w:szCs w:val="22"/>
        </w:rPr>
        <w:t>)</w:t>
      </w:r>
    </w:p>
    <w:p w14:paraId="278A7095" w14:textId="77777777" w:rsidR="0073150D" w:rsidRDefault="0073150D" w:rsidP="0073150D">
      <w:pPr>
        <w:pStyle w:val="ListParagraph"/>
        <w:ind w:left="1800"/>
      </w:pPr>
    </w:p>
    <w:p w14:paraId="7299A0C2" w14:textId="77777777" w:rsidR="00E16F54" w:rsidRDefault="00E16F54" w:rsidP="00E16F54">
      <w:pPr>
        <w:pStyle w:val="ListParagraph"/>
        <w:numPr>
          <w:ilvl w:val="0"/>
          <w:numId w:val="6"/>
        </w:numPr>
      </w:pPr>
      <w:r>
        <w:t>What do you conclude?</w:t>
      </w:r>
    </w:p>
    <w:p w14:paraId="0AB936BB" w14:textId="77777777" w:rsidR="00E16F54" w:rsidRDefault="00E16F54" w:rsidP="00E16F54"/>
    <w:p w14:paraId="79DF976B" w14:textId="77777777" w:rsidR="00117FB5" w:rsidRDefault="00117FB5"/>
    <w:p w14:paraId="137C0DB9" w14:textId="050DBD3A" w:rsidR="00102261" w:rsidRPr="00454548" w:rsidRDefault="00102261"/>
    <w:p w14:paraId="5A40A803" w14:textId="0B94A87E" w:rsidR="00EE5569" w:rsidRDefault="00454548" w:rsidP="00C716AA">
      <w:pPr>
        <w:widowControl w:val="0"/>
        <w:autoSpaceDE w:val="0"/>
        <w:autoSpaceDN w:val="0"/>
        <w:adjustRightInd w:val="0"/>
        <w:spacing w:after="240"/>
      </w:pPr>
      <w:r w:rsidRPr="00454548">
        <w:t xml:space="preserve">5. The figure, below, </w:t>
      </w:r>
      <w:proofErr w:type="gramStart"/>
      <w:r w:rsidRPr="00454548">
        <w:t>is found</w:t>
      </w:r>
      <w:proofErr w:type="gramEnd"/>
      <w:r w:rsidRPr="00454548">
        <w:t xml:space="preserve"> in the paper, </w:t>
      </w:r>
      <w:proofErr w:type="spellStart"/>
      <w:r w:rsidRPr="00454548">
        <w:t>Marland</w:t>
      </w:r>
      <w:proofErr w:type="spellEnd"/>
      <w:r w:rsidRPr="00454548">
        <w:t xml:space="preserve"> et al. (2020:  </w:t>
      </w:r>
      <w:hyperlink r:id="rId5" w:history="1">
        <w:r w:rsidRPr="00C716AA">
          <w:rPr>
            <w:rStyle w:val="Hyperlink"/>
            <w:rFonts w:cs="Times"/>
          </w:rPr>
          <w:t>https://doi.org/10.1016/j.sbsr.2020.100375</w:t>
        </w:r>
      </w:hyperlink>
      <w:r w:rsidRPr="00454548">
        <w:t>)</w:t>
      </w:r>
      <w:r>
        <w:t>.  In it, the authors use 2 t-tests to interpret their results:  one t-test at time zero, and another t-test at time 24 hours.</w:t>
      </w:r>
      <w:r w:rsidR="00913DD8">
        <w:t xml:space="preserve">  In each case, the</w:t>
      </w:r>
      <w:r w:rsidR="00C716AA">
        <w:t>y</w:t>
      </w:r>
      <w:r w:rsidR="00913DD8">
        <w:t xml:space="preserve"> compare a measurement </w:t>
      </w:r>
      <w:r w:rsidR="000166BA">
        <w:t>under two condi</w:t>
      </w:r>
      <w:r w:rsidR="00913DD8">
        <w:t>tions:  Control vs. BSA treatment.</w:t>
      </w:r>
      <w:r w:rsidR="008013A3">
        <w:t xml:space="preserve">  Although not explicitly stated in the text, they appear to use these two t-tests to demonstrate that the effect of BSA vs. control differs between the two time points, 0 vs. 24.  Is their approach appropriate to make this conclusion?  If not, how could they improve their approach?</w:t>
      </w:r>
    </w:p>
    <w:p w14:paraId="485683D0" w14:textId="77777777" w:rsidR="00913DD8" w:rsidRDefault="00913DD8" w:rsidP="00C716AA">
      <w:pPr>
        <w:widowControl w:val="0"/>
        <w:autoSpaceDE w:val="0"/>
        <w:autoSpaceDN w:val="0"/>
        <w:adjustRightInd w:val="0"/>
        <w:spacing w:after="240"/>
      </w:pPr>
    </w:p>
    <w:p w14:paraId="3A0B8E8A" w14:textId="6A4828BD" w:rsidR="00913DD8" w:rsidRDefault="00913DD8" w:rsidP="00C716AA">
      <w:pPr>
        <w:widowControl w:val="0"/>
        <w:autoSpaceDE w:val="0"/>
        <w:autoSpaceDN w:val="0"/>
        <w:adjustRightInd w:val="0"/>
        <w:spacing w:after="240"/>
      </w:pPr>
      <w:r>
        <w:rPr>
          <w:noProof/>
          <w:lang w:val="en-GB" w:eastAsia="en-GB"/>
        </w:rPr>
        <w:drawing>
          <wp:inline distT="0" distB="0" distL="0" distR="0" wp14:anchorId="17D38B9F" wp14:editId="78491FE4">
            <wp:extent cx="3147399" cy="24646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90" cy="246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82503" w14:textId="77777777" w:rsidR="00913DD8" w:rsidRDefault="00913DD8" w:rsidP="00C716AA">
      <w:pPr>
        <w:widowControl w:val="0"/>
        <w:autoSpaceDE w:val="0"/>
        <w:autoSpaceDN w:val="0"/>
        <w:adjustRightInd w:val="0"/>
        <w:spacing w:after="240"/>
      </w:pPr>
    </w:p>
    <w:p w14:paraId="7E60DEF8" w14:textId="77777777" w:rsidR="00913DD8" w:rsidRDefault="00913DD8" w:rsidP="00C716AA">
      <w:pPr>
        <w:widowControl w:val="0"/>
        <w:autoSpaceDE w:val="0"/>
        <w:autoSpaceDN w:val="0"/>
        <w:adjustRightInd w:val="0"/>
        <w:spacing w:after="240"/>
      </w:pPr>
    </w:p>
    <w:p w14:paraId="6556CC19" w14:textId="77777777" w:rsidR="00913DD8" w:rsidRPr="00454548" w:rsidRDefault="00913DD8" w:rsidP="00C716AA">
      <w:pPr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sectPr w:rsidR="00913DD8" w:rsidRPr="00454548" w:rsidSect="00987EC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nlo Regular">
    <w:altName w:val="Arial"/>
    <w:charset w:val="00"/>
    <w:family w:val="auto"/>
    <w:pitch w:val="variable"/>
    <w:sig w:usb0="E60022FF" w:usb1="D200F9FB" w:usb2="02000028" w:usb3="00000000" w:csb0="000001D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194115"/>
    <w:multiLevelType w:val="hybridMultilevel"/>
    <w:tmpl w:val="7382B186"/>
    <w:lvl w:ilvl="0" w:tplc="C8142D7C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8E4326"/>
    <w:multiLevelType w:val="hybridMultilevel"/>
    <w:tmpl w:val="A3FC6F8C"/>
    <w:lvl w:ilvl="0" w:tplc="A2504A38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07B6A0A"/>
    <w:multiLevelType w:val="hybridMultilevel"/>
    <w:tmpl w:val="A3FC6F8C"/>
    <w:lvl w:ilvl="0" w:tplc="A2504A38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8F28BA"/>
    <w:multiLevelType w:val="hybridMultilevel"/>
    <w:tmpl w:val="A3FC6F8C"/>
    <w:lvl w:ilvl="0" w:tplc="A2504A38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0FA07CA"/>
    <w:multiLevelType w:val="hybridMultilevel"/>
    <w:tmpl w:val="A3FC6F8C"/>
    <w:lvl w:ilvl="0" w:tplc="A2504A38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E747456"/>
    <w:multiLevelType w:val="hybridMultilevel"/>
    <w:tmpl w:val="A3FC6F8C"/>
    <w:lvl w:ilvl="0" w:tplc="A2504A38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3B5"/>
    <w:rsid w:val="000166BA"/>
    <w:rsid w:val="000240AD"/>
    <w:rsid w:val="00102261"/>
    <w:rsid w:val="00117FB5"/>
    <w:rsid w:val="0018096C"/>
    <w:rsid w:val="00190CCE"/>
    <w:rsid w:val="00195559"/>
    <w:rsid w:val="002222D5"/>
    <w:rsid w:val="00224074"/>
    <w:rsid w:val="002B5370"/>
    <w:rsid w:val="00336C54"/>
    <w:rsid w:val="00377C58"/>
    <w:rsid w:val="003E02FC"/>
    <w:rsid w:val="00454548"/>
    <w:rsid w:val="00476A1E"/>
    <w:rsid w:val="004B0C15"/>
    <w:rsid w:val="0053248E"/>
    <w:rsid w:val="00543439"/>
    <w:rsid w:val="005874DB"/>
    <w:rsid w:val="00596F27"/>
    <w:rsid w:val="00627BBA"/>
    <w:rsid w:val="0066772C"/>
    <w:rsid w:val="006C3CFD"/>
    <w:rsid w:val="006F76B4"/>
    <w:rsid w:val="0073150D"/>
    <w:rsid w:val="00742967"/>
    <w:rsid w:val="007713A3"/>
    <w:rsid w:val="007D0761"/>
    <w:rsid w:val="007D73AF"/>
    <w:rsid w:val="008013A3"/>
    <w:rsid w:val="00843B51"/>
    <w:rsid w:val="00882725"/>
    <w:rsid w:val="008F39E6"/>
    <w:rsid w:val="00913DD8"/>
    <w:rsid w:val="009543B5"/>
    <w:rsid w:val="00957E87"/>
    <w:rsid w:val="00961936"/>
    <w:rsid w:val="0098171F"/>
    <w:rsid w:val="00987EC0"/>
    <w:rsid w:val="00A15474"/>
    <w:rsid w:val="00AF4F97"/>
    <w:rsid w:val="00AF6A6F"/>
    <w:rsid w:val="00B67814"/>
    <w:rsid w:val="00BB23E9"/>
    <w:rsid w:val="00C716AA"/>
    <w:rsid w:val="00C907E1"/>
    <w:rsid w:val="00D359F8"/>
    <w:rsid w:val="00D44674"/>
    <w:rsid w:val="00D6573C"/>
    <w:rsid w:val="00DE56CC"/>
    <w:rsid w:val="00E16F54"/>
    <w:rsid w:val="00E31632"/>
    <w:rsid w:val="00E769B9"/>
    <w:rsid w:val="00EE0657"/>
    <w:rsid w:val="00EE1FB0"/>
    <w:rsid w:val="00EE387D"/>
    <w:rsid w:val="00EE5569"/>
    <w:rsid w:val="00F84D90"/>
    <w:rsid w:val="00F940F1"/>
    <w:rsid w:val="00FE47B1"/>
    <w:rsid w:val="00FE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954876"/>
  <w14:defaultImageDpi w14:val="300"/>
  <w15:docId w15:val="{C986A151-6E9C-472C-85CE-9A2B7E733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72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677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77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77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77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772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77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72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4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doi.org/10.1016/j.sbsr.2020.100375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964</Words>
  <Characters>5500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Evolution</Company>
  <LinksUpToDate>false</LinksUpToDate>
  <CharactersWithSpaces>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Crispin Jordan</dc:creator>
  <cp:keywords/>
  <dc:description/>
  <cp:lastModifiedBy>Sarah Martin</cp:lastModifiedBy>
  <cp:revision>2</cp:revision>
  <dcterms:created xsi:type="dcterms:W3CDTF">2022-12-12T12:10:00Z</dcterms:created>
  <dcterms:modified xsi:type="dcterms:W3CDTF">2022-12-12T12:10:00Z</dcterms:modified>
</cp:coreProperties>
</file>